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07" w:rsidRPr="004A28B7" w:rsidRDefault="00791007" w:rsidP="00791007">
      <w:pPr>
        <w:widowControl/>
        <w:shd w:val="clear" w:color="auto" w:fill="FFFFFF"/>
        <w:spacing w:line="900" w:lineRule="atLeast"/>
        <w:jc w:val="center"/>
        <w:rPr>
          <w:rFonts w:ascii="仿宋" w:eastAsia="仿宋" w:hAnsi="仿宋" w:cs="宋体"/>
          <w:b/>
          <w:color w:val="000000"/>
          <w:kern w:val="0"/>
          <w:sz w:val="38"/>
          <w:szCs w:val="38"/>
        </w:rPr>
      </w:pPr>
      <w:r w:rsidRPr="004A28B7">
        <w:rPr>
          <w:rFonts w:ascii="仿宋" w:eastAsia="仿宋" w:hAnsi="仿宋" w:cs="宋体" w:hint="eastAsia"/>
          <w:b/>
          <w:color w:val="000000"/>
          <w:kern w:val="0"/>
          <w:sz w:val="38"/>
          <w:szCs w:val="38"/>
        </w:rPr>
        <w:t>省教育厅关于深入推进全省高等学校</w:t>
      </w:r>
      <w:r w:rsidRPr="004A28B7">
        <w:rPr>
          <w:rFonts w:ascii="仿宋" w:eastAsia="仿宋" w:hAnsi="仿宋" w:cs="宋体" w:hint="eastAsia"/>
          <w:b/>
          <w:color w:val="000000"/>
          <w:kern w:val="0"/>
          <w:sz w:val="38"/>
          <w:szCs w:val="38"/>
        </w:rPr>
        <w:br/>
      </w:r>
      <w:proofErr w:type="gramStart"/>
      <w:r w:rsidRPr="004A28B7">
        <w:rPr>
          <w:rFonts w:ascii="仿宋" w:eastAsia="仿宋" w:hAnsi="仿宋" w:cs="宋体" w:hint="eastAsia"/>
          <w:b/>
          <w:color w:val="000000"/>
          <w:kern w:val="0"/>
          <w:sz w:val="38"/>
          <w:szCs w:val="38"/>
        </w:rPr>
        <w:t>课程思政建设</w:t>
      </w:r>
      <w:proofErr w:type="gramEnd"/>
      <w:r w:rsidRPr="004A28B7">
        <w:rPr>
          <w:rFonts w:ascii="仿宋" w:eastAsia="仿宋" w:hAnsi="仿宋" w:cs="宋体" w:hint="eastAsia"/>
          <w:b/>
          <w:color w:val="000000"/>
          <w:kern w:val="0"/>
          <w:sz w:val="38"/>
          <w:szCs w:val="38"/>
        </w:rPr>
        <w:t>的实施意见</w:t>
      </w:r>
    </w:p>
    <w:p w:rsidR="00791007" w:rsidRPr="004A28B7" w:rsidRDefault="00791007" w:rsidP="004A28B7">
      <w:pPr>
        <w:widowControl/>
        <w:shd w:val="clear" w:color="auto" w:fill="FFFFFF"/>
        <w:spacing w:line="450" w:lineRule="atLeast"/>
        <w:ind w:firstLine="480"/>
        <w:jc w:val="right"/>
        <w:rPr>
          <w:rFonts w:ascii="仿宋" w:eastAsia="仿宋" w:hAnsi="仿宋" w:cs="宋体"/>
          <w:color w:val="333333"/>
          <w:kern w:val="0"/>
          <w:sz w:val="23"/>
          <w:szCs w:val="23"/>
        </w:rPr>
      </w:pP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苏教高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〔2020〕3号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各高等学校：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为贯彻落实教育部《高等学校课程思政建设指导纲要》（以下简称《纲要》）精神，深入推进全省高校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，有效发挥各类课程育人作用，切实提高人才培养质量，提出如下实施意见。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一、指导思想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以习近平新时代中国特色社会主义思想为指导，全</w:t>
      </w:r>
      <w:bookmarkStart w:id="0" w:name="_GoBack"/>
      <w:bookmarkEnd w:id="0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面贯彻党的教育方针，坚持和加强党的全面领导，坚持社会主义办学方向，落实立德树人根本任务，深入推进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，发挥教师队伍“主力军”、课程建设“主战场”、课堂教学“主渠道”作用，使思想政治教育贯穿人才培养全过程，促进各类课程与思想政治理论课程同向同行，构建全员全程全方位育人大格局。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二、总体目标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通过在全省高校所有学科专业中构建全面覆盖、类型丰富、层次递进、相互支撑的课程思政体系，促使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课程思政的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理念形成广泛共识，广大教师坚守教书育人的主业、开展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的意识和能力全面提升，协同推进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的体制机制更加健全，高校立德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树人成效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进一步提高，形成“校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校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有精品、门门有思政、课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有特色、人人重育人”的良好局面。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三、基本原则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坚持知识传授和价值引领相统一。树立知识传授和价值引领并重的教育理念，以专业发展为出发点实现知识传授和价值引领协同发展，以人才培养为根本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点促进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知识传授与价值引领同频共振，将价值引领寓于知识传授、能力培养之中，引导学生树立正确的世界观、人生观、价值观，有效实现专业教育与思想政治教育的有机融合。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坚持显性教育和隐性教育相统一。在旗帜鲜明、理直气壮建好思想政治理论课的同时，积极挖掘各类课程中蕴含的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思政教育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元素，用好显性教育和隐性教育渠道，寻找专业学科知识体系与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思政知识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体系的接触点，探究专业知识教育与价值教</w:t>
      </w: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lastRenderedPageBreak/>
        <w:t>育的融合点，创新课程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思政教育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教学方式，达到学生喜闻乐见和讲解深入浅出的效果。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坚持统筹协调和分类指导相统一。落实高校主体责任，统筹各类资源，做好顶层设计，建立包括工作体系、教学体系、内容体系和评价体系在内的一整套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课程思政育人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新体系。结合不同类型高校、不同学科专业、不同类别课程的属性特点，加强分类指导，明确育人目标，强化教师培训，不断提高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水平。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四、实施方案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落实高校课程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思政主体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责任，科学规划与设计课程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思政教学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体系，推进学校、专业、课程三级课程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思政教学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改革与建设，全面提高立德树人成效。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（一）强化立德树人，落实课程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思政主体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责任。学校党政主要领导为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第一责任人。学校层面要结合学校发展定位和人才培养目标，设立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与教学管理机构，统筹制定全校课程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思政实施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方案。院系、专业层面要结合专业人才培养特色，加强师德师风建设，推动全体教师尤其是高水平教师参与课程思政工作，统筹推进专业基础课和专业主干课的课程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思政教学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改革。任课教师层面要进一步强化思想认识，深入挖掘课程内容和教学方式中蕴含的思想政治教育资源，探索和创新课程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思政教育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方法，不断提升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课程思政能力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（二）强化全面覆盖，设计课程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思政教学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体系。全省高校要在公共基础课程、专业教育课程、实践类课程等各类课程、教材中落实课程思政要求。其中，公共基础课程要聚焦提高学生思想道德修养、人文素质、科学精神、法治意识、国家安全意识和认知能力，打造一批有特色的体育、美育类课程，帮助学生增强体质，提升审美素养；专业教育课程要体现课程广度、深度和温度，集历史与现实、本土化与国际化、知识性与人文性于一体，与弘扬真善美结合，富有学科特色、彰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显专业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优势；实践教育类课程要注重学思结合、知行统一，增强学生创新精神、创造意识、创业能力以及弘扬劳动精神。高等职业院校要注重设计劳动教育环节和职业精神教育环节，引导学生培养工匠精神。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（三）强化分类指导，推进专业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。根据学科专业特点，深入挖掘专业课程所蕴含的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课程思政元素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，明确不同专业课程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的思政目标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，使专业课教师能在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中找到自己的“角色”、干出自己的“特色”。全省高校对照《纲要》中的文学、历史学、哲学类，经济学、管理学、法学类，教育学类，理学、工学类，农学类，医学类和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艺术学类等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不同学科门类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要求，进一步细化课程目标。高等职业院校结合高职专业分类和课程设置情况，设置差异化的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</w:t>
      </w: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lastRenderedPageBreak/>
        <w:t>政目标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，挖掘培育以工匠精神为核心的德育元素，将社会责任、爱岗敬业、团队协作、身心健康、诚实守信、精益求精、劳动竞技、文化传承、创新创造等元素和典型案例贯穿到课程体系的设计与执行中，落实好分类推进相关要求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（四）强化育人能力，提升教师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课程思政素养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依托江苏省高等学校教学管理研究会、江苏省高校师资培训中心、江苏省高等职业教育教师培训中心、江苏省高校在线开放课程中心、江苏省高校“金课”工作坊等平台，分区域、分学科专业领域开展经常性的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思政典型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经验交流、现场教学观摩、教师教学培训等活动，有计划、分批次对全省教师开展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专题培训，加强教师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课程思政育人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能力建设。各高校应开展课程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思政教学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名师、教学团队培育工作，举办课程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思政专项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讲课竞赛或教学设计大赛，将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课程思政纳入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教师岗前培训、在岗培训和师德师风、教学能力专题培训等活动中，充分发挥教研室、教学团队、课程组等基层教学组织作用，建立课程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思政集体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教研制度。鼓励支持国家级和省级高层次人才开展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（五）强化改革创新，深化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研究。鼓励和支持广大教师开展多种形式的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课程思政研究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与实践，逐步构建多层次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研究体系。建设一批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课程思政研究中心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。课题研究和实践要聚焦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中的热点、重点和难点，着力解决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中的基础性、关键性、前瞻性问题。在江苏省高校哲学社会科学研究项目中设立课程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思政重大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专项课题，在江苏省高等教育教改研究立项课题中优先支持课程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思政类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研究选题。鼓励高校开展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课程思政专题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研究，加大对高水平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课程思政研究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与实践成果的推广应用，总结汇编课程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思政优秀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教学案例，进一步扩大江苏高校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影响力。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五、保障措施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（一）加强组织领导。各高校要建立党委统一领导、党政齐抓共管、教务部门牵头抓总、相关部门联动、院系落实推进、自身特色鲜明的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工作新格局。组织成立江苏省高校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专家咨询委员会，统筹研究重大政策，指导高校开展课程思政工作。委托江苏省高等学校教学管理研究会成立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工作专门委员会，搭建全省高校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研究与交流平台。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（二）落实经费保障。省教育厅加强政策协调配套，统筹地方财政高等教育资金和中央支持地方高校改革发展资金，支持高校推进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。中央部门所属高校要统筹利用中央高校教育教学改革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专项等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中央高校预算拨款和其他各类资源，</w:t>
      </w: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lastRenderedPageBreak/>
        <w:t>结合学校实际，支持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工作。地方高校要根据自身建设计划，统筹各类资源，加大对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的投入力度。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（三）强化考核评价。建立健全多维度的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成效评价体系和监督检查、激励约束机制，发布《江苏省课程思政示范高校建设指标（试行）》《江苏省课程思政示范专业建设指标（试行）》和《江苏省课程思政示范课程建设指标（试行）》（见附件），适时开展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专项督查。把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课程思政建设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成效作为“双一流”建设和江苏高水平大学建设监测与成效评价、学科评估、本科教学评估、专业认证、专业综合评价、“双高计划”评价、“双万计划”评价、高校或院系教学绩效考核、教学成果奖、教材奖评审推荐等的重要内容。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附件：</w:t>
      </w:r>
      <w:r w:rsidR="000D0D31" w:rsidRPr="004A28B7">
        <w:rPr>
          <w:rFonts w:ascii="仿宋" w:eastAsia="仿宋" w:hAnsi="仿宋" w:cs="宋体"/>
          <w:noProof/>
          <w:color w:val="333333"/>
          <w:kern w:val="0"/>
          <w:sz w:val="23"/>
          <w:szCs w:val="23"/>
        </w:rPr>
        <w:t xml:space="preserve"> </w:t>
      </w: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附件1-3.docx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 xml:space="preserve">　　　1. 江苏省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课程思政示范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高校建设指标（试行）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 xml:space="preserve">　　　2. 江苏省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课程思政示范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专业建设指标（试行）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 xml:space="preserve">　　　3. 江苏省</w:t>
      </w:r>
      <w:proofErr w:type="gramStart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课程思政示范</w:t>
      </w:r>
      <w:proofErr w:type="gramEnd"/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课程建设指标（试行）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righ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江苏省教育厅</w:t>
      </w:r>
      <w:r w:rsidRPr="004A28B7">
        <w:rPr>
          <w:rFonts w:ascii="Calibri" w:eastAsia="仿宋" w:hAnsi="Calibri" w:cs="Calibri"/>
          <w:color w:val="333333"/>
          <w:kern w:val="0"/>
          <w:sz w:val="23"/>
          <w:szCs w:val="23"/>
        </w:rPr>
        <w:t> </w:t>
      </w:r>
    </w:p>
    <w:p w:rsidR="00791007" w:rsidRPr="004A28B7" w:rsidRDefault="00791007" w:rsidP="00791007">
      <w:pPr>
        <w:widowControl/>
        <w:shd w:val="clear" w:color="auto" w:fill="FFFFFF"/>
        <w:spacing w:line="450" w:lineRule="atLeast"/>
        <w:ind w:firstLine="480"/>
        <w:jc w:val="right"/>
        <w:rPr>
          <w:rFonts w:ascii="仿宋" w:eastAsia="仿宋" w:hAnsi="仿宋" w:cs="宋体"/>
          <w:color w:val="333333"/>
          <w:kern w:val="0"/>
          <w:sz w:val="23"/>
          <w:szCs w:val="23"/>
        </w:rPr>
      </w:pPr>
      <w:r w:rsidRPr="004A28B7">
        <w:rPr>
          <w:rFonts w:ascii="仿宋" w:eastAsia="仿宋" w:hAnsi="仿宋" w:cs="宋体" w:hint="eastAsia"/>
          <w:color w:val="333333"/>
          <w:kern w:val="0"/>
          <w:sz w:val="23"/>
          <w:szCs w:val="23"/>
        </w:rPr>
        <w:t>2020年7月7日</w:t>
      </w:r>
    </w:p>
    <w:p w:rsidR="008C66B3" w:rsidRPr="004A28B7" w:rsidRDefault="008C66B3">
      <w:pPr>
        <w:rPr>
          <w:rFonts w:ascii="仿宋" w:eastAsia="仿宋" w:hAnsi="仿宋"/>
        </w:rPr>
      </w:pPr>
    </w:p>
    <w:sectPr w:rsidR="008C66B3" w:rsidRPr="004A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07"/>
    <w:rsid w:val="000D0D31"/>
    <w:rsid w:val="004A28B7"/>
    <w:rsid w:val="00791007"/>
    <w:rsid w:val="008C66B3"/>
    <w:rsid w:val="009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4ABE1-C6DA-453B-8031-C07BA086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0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0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71717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xn2020</dc:creator>
  <cp:keywords/>
  <dc:description/>
  <cp:lastModifiedBy>xn2020</cp:lastModifiedBy>
  <cp:revision>7</cp:revision>
  <dcterms:created xsi:type="dcterms:W3CDTF">2020-12-14T00:42:00Z</dcterms:created>
  <dcterms:modified xsi:type="dcterms:W3CDTF">2020-12-17T03:36:00Z</dcterms:modified>
</cp:coreProperties>
</file>