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黑体" w:eastAsia="黑体"/>
          <w:b/>
          <w:sz w:val="30"/>
          <w:szCs w:val="30"/>
          <w:u w:val="single"/>
        </w:rPr>
        <w:t xml:space="preserve">   </w:t>
      </w:r>
      <w:r>
        <w:rPr>
          <w:rFonts w:hint="eastAsia" w:ascii="黑体" w:eastAsia="黑体"/>
          <w:b/>
          <w:sz w:val="30"/>
          <w:szCs w:val="30"/>
          <w:u w:val="single"/>
          <w:lang w:val="en-US" w:eastAsia="zh-CN"/>
        </w:rPr>
        <w:t>自动化</w:t>
      </w:r>
      <w:r>
        <w:rPr>
          <w:rFonts w:ascii="黑体" w:eastAsia="黑体"/>
          <w:b/>
          <w:sz w:val="30"/>
          <w:szCs w:val="30"/>
          <w:u w:val="single"/>
        </w:rPr>
        <w:t xml:space="preserve">   </w:t>
      </w:r>
      <w:r>
        <w:rPr>
          <w:rFonts w:hint="eastAsia" w:ascii="黑体" w:eastAsia="黑体"/>
          <w:b/>
          <w:sz w:val="30"/>
          <w:szCs w:val="30"/>
        </w:rPr>
        <w:t>学院推荐免试研究生工作细则</w:t>
      </w:r>
      <w:r>
        <w:rPr>
          <w:rFonts w:hint="eastAsia" w:ascii="黑体" w:eastAsia="黑体"/>
          <w:b/>
          <w:sz w:val="32"/>
          <w:szCs w:val="32"/>
        </w:rPr>
        <w:t>表</w:t>
      </w:r>
    </w:p>
    <w:tbl>
      <w:tblPr>
        <w:tblStyle w:val="6"/>
        <w:tblpPr w:leftFromText="180" w:rightFromText="180" w:vertAnchor="page" w:horzAnchor="margin" w:tblpY="1936"/>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26"/>
        <w:gridCol w:w="1680"/>
        <w:gridCol w:w="938"/>
        <w:gridCol w:w="1800"/>
        <w:gridCol w:w="9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8" w:type="dxa"/>
            <w:vMerge w:val="restart"/>
            <w:vAlign w:val="center"/>
          </w:tcPr>
          <w:p>
            <w:pPr>
              <w:jc w:val="center"/>
              <w:rPr>
                <w:sz w:val="24"/>
              </w:rPr>
            </w:pPr>
            <w:r>
              <w:rPr>
                <w:rFonts w:hint="eastAsia"/>
                <w:sz w:val="24"/>
              </w:rPr>
              <w:t>学院推免生</w:t>
            </w:r>
          </w:p>
          <w:p>
            <w:pPr>
              <w:ind w:left="360" w:hanging="360" w:hangingChars="150"/>
              <w:jc w:val="center"/>
              <w:rPr>
                <w:sz w:val="24"/>
              </w:rPr>
            </w:pPr>
            <w:r>
              <w:rPr>
                <w:rFonts w:hint="eastAsia"/>
                <w:sz w:val="24"/>
              </w:rPr>
              <w:t>领导小组</w:t>
            </w:r>
          </w:p>
        </w:tc>
        <w:tc>
          <w:tcPr>
            <w:tcW w:w="826" w:type="dxa"/>
            <w:vAlign w:val="center"/>
          </w:tcPr>
          <w:p>
            <w:pPr>
              <w:jc w:val="center"/>
            </w:pPr>
            <w:r>
              <w:rPr>
                <w:rFonts w:hint="eastAsia"/>
              </w:rPr>
              <w:t>组长</w:t>
            </w:r>
          </w:p>
        </w:tc>
        <w:tc>
          <w:tcPr>
            <w:tcW w:w="1680" w:type="dxa"/>
            <w:vAlign w:val="center"/>
          </w:tcPr>
          <w:p>
            <w:pPr>
              <w:jc w:val="center"/>
              <w:rPr>
                <w:rFonts w:hint="default" w:eastAsia="宋体"/>
                <w:lang w:val="en-US" w:eastAsia="zh-CN"/>
              </w:rPr>
            </w:pPr>
            <w:r>
              <w:rPr>
                <w:rFonts w:hint="eastAsia"/>
                <w:lang w:val="en-US" w:eastAsia="zh-CN"/>
              </w:rPr>
              <w:t>刘雪明、刘佳</w:t>
            </w:r>
          </w:p>
        </w:tc>
        <w:tc>
          <w:tcPr>
            <w:tcW w:w="938" w:type="dxa"/>
            <w:vAlign w:val="center"/>
          </w:tcPr>
          <w:p>
            <w:pPr>
              <w:jc w:val="center"/>
            </w:pPr>
            <w:r>
              <w:rPr>
                <w:rFonts w:hint="eastAsia"/>
              </w:rPr>
              <w:t>副组长</w:t>
            </w:r>
          </w:p>
        </w:tc>
        <w:tc>
          <w:tcPr>
            <w:tcW w:w="1800" w:type="dxa"/>
            <w:vAlign w:val="center"/>
          </w:tcPr>
          <w:p>
            <w:pPr>
              <w:jc w:val="center"/>
              <w:rPr>
                <w:rFonts w:hint="default" w:eastAsia="宋体"/>
                <w:lang w:val="en-US" w:eastAsia="zh-CN"/>
              </w:rPr>
            </w:pPr>
            <w:r>
              <w:rPr>
                <w:rFonts w:hint="eastAsia"/>
                <w:lang w:val="en-US" w:eastAsia="zh-CN"/>
              </w:rPr>
              <w:t>周旺平、霍晓音</w:t>
            </w:r>
          </w:p>
        </w:tc>
        <w:tc>
          <w:tcPr>
            <w:tcW w:w="900" w:type="dxa"/>
            <w:vAlign w:val="center"/>
          </w:tcPr>
          <w:p>
            <w:pPr>
              <w:ind w:firstLine="105" w:firstLineChars="50"/>
              <w:jc w:val="center"/>
            </w:pPr>
            <w:r>
              <w:rPr>
                <w:rFonts w:hint="eastAsia"/>
              </w:rPr>
              <w:t>秘书</w:t>
            </w:r>
          </w:p>
        </w:tc>
        <w:tc>
          <w:tcPr>
            <w:tcW w:w="1034" w:type="dxa"/>
            <w:vAlign w:val="center"/>
          </w:tcPr>
          <w:p>
            <w:pPr>
              <w:jc w:val="center"/>
              <w:rPr>
                <w:rFonts w:hint="default" w:eastAsia="宋体"/>
                <w:lang w:val="en-US" w:eastAsia="zh-CN"/>
              </w:rPr>
            </w:pPr>
            <w:r>
              <w:rPr>
                <w:rFonts w:hint="eastAsia"/>
                <w:lang w:val="en-US" w:eastAsia="zh-CN"/>
              </w:rPr>
              <w:t>马玲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8" w:type="dxa"/>
            <w:vMerge w:val="continue"/>
            <w:vAlign w:val="center"/>
          </w:tcPr>
          <w:p>
            <w:pPr>
              <w:ind w:firstLine="480"/>
              <w:jc w:val="center"/>
              <w:rPr>
                <w:sz w:val="24"/>
              </w:rPr>
            </w:pPr>
          </w:p>
        </w:tc>
        <w:tc>
          <w:tcPr>
            <w:tcW w:w="826" w:type="dxa"/>
            <w:vAlign w:val="center"/>
          </w:tcPr>
          <w:p>
            <w:pPr>
              <w:jc w:val="center"/>
            </w:pPr>
            <w:r>
              <w:rPr>
                <w:rFonts w:hint="eastAsia"/>
              </w:rPr>
              <w:t>组员</w:t>
            </w:r>
          </w:p>
        </w:tc>
        <w:tc>
          <w:tcPr>
            <w:tcW w:w="6352" w:type="dxa"/>
            <w:gridSpan w:val="5"/>
            <w:vAlign w:val="center"/>
          </w:tcPr>
          <w:p>
            <w:pPr>
              <w:jc w:val="center"/>
              <w:rPr>
                <w:rFonts w:hint="default" w:eastAsia="宋体"/>
                <w:lang w:val="en-US" w:eastAsia="zh-CN"/>
              </w:rPr>
            </w:pPr>
            <w:r>
              <w:rPr>
                <w:rFonts w:hint="eastAsia"/>
                <w:lang w:val="en-US" w:eastAsia="zh-CN"/>
              </w:rPr>
              <w:t>侯健敏、葛泉波、郑柏超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8" w:type="dxa"/>
            <w:vMerge w:val="restart"/>
            <w:vAlign w:val="center"/>
          </w:tcPr>
          <w:p>
            <w:pPr>
              <w:jc w:val="center"/>
              <w:rPr>
                <w:sz w:val="24"/>
              </w:rPr>
            </w:pPr>
            <w:r>
              <w:rPr>
                <w:rFonts w:hint="eastAsia"/>
                <w:sz w:val="24"/>
              </w:rPr>
              <w:t>学院推免生考核小组</w:t>
            </w:r>
          </w:p>
        </w:tc>
        <w:tc>
          <w:tcPr>
            <w:tcW w:w="826" w:type="dxa"/>
            <w:vAlign w:val="center"/>
          </w:tcPr>
          <w:p>
            <w:pPr>
              <w:jc w:val="center"/>
            </w:pPr>
            <w:r>
              <w:rPr>
                <w:rFonts w:hint="eastAsia"/>
              </w:rPr>
              <w:t>组长</w:t>
            </w:r>
          </w:p>
        </w:tc>
        <w:tc>
          <w:tcPr>
            <w:tcW w:w="1680" w:type="dxa"/>
            <w:vAlign w:val="center"/>
          </w:tcPr>
          <w:p>
            <w:pPr>
              <w:jc w:val="center"/>
              <w:rPr>
                <w:rFonts w:hint="eastAsia" w:eastAsia="宋体"/>
                <w:lang w:val="en-US" w:eastAsia="zh-CN"/>
              </w:rPr>
            </w:pPr>
            <w:r>
              <w:rPr>
                <w:rFonts w:hint="eastAsia"/>
                <w:lang w:val="en-US" w:eastAsia="zh-CN"/>
              </w:rPr>
              <w:t>周旺平</w:t>
            </w:r>
          </w:p>
        </w:tc>
        <w:tc>
          <w:tcPr>
            <w:tcW w:w="938" w:type="dxa"/>
            <w:vAlign w:val="center"/>
          </w:tcPr>
          <w:p>
            <w:pPr>
              <w:jc w:val="center"/>
            </w:pPr>
            <w:r>
              <w:rPr>
                <w:rFonts w:hint="eastAsia"/>
              </w:rPr>
              <w:t>副组长</w:t>
            </w:r>
          </w:p>
        </w:tc>
        <w:tc>
          <w:tcPr>
            <w:tcW w:w="1800" w:type="dxa"/>
            <w:vAlign w:val="center"/>
          </w:tcPr>
          <w:p>
            <w:pPr>
              <w:jc w:val="center"/>
            </w:pPr>
            <w:r>
              <w:rPr>
                <w:rFonts w:hint="eastAsia"/>
                <w:lang w:val="en-US" w:eastAsia="zh-CN"/>
              </w:rPr>
              <w:t>霍晓音</w:t>
            </w:r>
          </w:p>
        </w:tc>
        <w:tc>
          <w:tcPr>
            <w:tcW w:w="900" w:type="dxa"/>
            <w:vAlign w:val="center"/>
          </w:tcPr>
          <w:p>
            <w:pPr>
              <w:ind w:firstLine="105" w:firstLineChars="50"/>
              <w:jc w:val="center"/>
            </w:pPr>
            <w:r>
              <w:rPr>
                <w:rFonts w:hint="eastAsia"/>
              </w:rPr>
              <w:t>秘书</w:t>
            </w:r>
          </w:p>
        </w:tc>
        <w:tc>
          <w:tcPr>
            <w:tcW w:w="1034" w:type="dxa"/>
            <w:vAlign w:val="center"/>
          </w:tcPr>
          <w:p>
            <w:pPr>
              <w:jc w:val="center"/>
            </w:pPr>
            <w:r>
              <w:rPr>
                <w:rFonts w:hint="eastAsia"/>
                <w:lang w:val="en-US" w:eastAsia="zh-CN"/>
              </w:rPr>
              <w:t>王恋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8" w:type="dxa"/>
            <w:vMerge w:val="continue"/>
            <w:vAlign w:val="center"/>
          </w:tcPr>
          <w:p>
            <w:pPr>
              <w:ind w:firstLine="480"/>
              <w:jc w:val="center"/>
              <w:rPr>
                <w:sz w:val="24"/>
              </w:rPr>
            </w:pPr>
          </w:p>
        </w:tc>
        <w:tc>
          <w:tcPr>
            <w:tcW w:w="826" w:type="dxa"/>
            <w:vAlign w:val="center"/>
          </w:tcPr>
          <w:p>
            <w:pPr>
              <w:jc w:val="center"/>
            </w:pPr>
            <w:r>
              <w:rPr>
                <w:rFonts w:hint="eastAsia"/>
              </w:rPr>
              <w:t>组员</w:t>
            </w:r>
          </w:p>
        </w:tc>
        <w:tc>
          <w:tcPr>
            <w:tcW w:w="6352" w:type="dxa"/>
            <w:gridSpan w:val="5"/>
            <w:vAlign w:val="center"/>
          </w:tcPr>
          <w:p>
            <w:pPr>
              <w:jc w:val="center"/>
              <w:rPr>
                <w:color w:val="000000"/>
              </w:rPr>
            </w:pPr>
            <w:r>
              <w:rPr>
                <w:rFonts w:hint="eastAsia"/>
                <w:lang w:val="en-US" w:eastAsia="zh-CN"/>
              </w:rPr>
              <w:t>夏旻、余莉、臧强、刘卿卿、宋公飞、杨扬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668" w:type="dxa"/>
            <w:vAlign w:val="center"/>
          </w:tcPr>
          <w:p>
            <w:pPr>
              <w:jc w:val="center"/>
              <w:rPr>
                <w:sz w:val="24"/>
              </w:rPr>
            </w:pPr>
            <w:r>
              <w:rPr>
                <w:rFonts w:hint="eastAsia"/>
                <w:sz w:val="24"/>
              </w:rPr>
              <w:t>学院推免生工作程序及日程安排</w:t>
            </w:r>
          </w:p>
        </w:tc>
        <w:tc>
          <w:tcPr>
            <w:tcW w:w="7178" w:type="dxa"/>
            <w:gridSpan w:val="6"/>
            <w:vAlign w:val="center"/>
          </w:tcPr>
          <w:p>
            <w:pPr>
              <w:numPr>
                <w:ilvl w:val="0"/>
                <w:numId w:val="1"/>
              </w:numPr>
              <w:jc w:val="left"/>
              <w:rPr>
                <w:rFonts w:hint="eastAsia" w:ascii="楷体" w:hAnsi="楷体" w:eastAsia="楷体" w:cs="楷体"/>
                <w:b/>
                <w:bCs/>
                <w:sz w:val="24"/>
                <w:lang w:val="en-US" w:eastAsia="zh-CN"/>
              </w:rPr>
            </w:pPr>
            <w:r>
              <w:rPr>
                <w:rFonts w:hint="eastAsia" w:ascii="楷体" w:hAnsi="楷体" w:eastAsia="楷体" w:cs="楷体"/>
                <w:b/>
                <w:bCs/>
                <w:sz w:val="24"/>
                <w:lang w:val="en-US" w:eastAsia="zh-CN"/>
              </w:rPr>
              <w:t>遴选原则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落实立德树人根本任务。学院坚持德智体美劳全面衡量，以德为先，把学生思想品德考核作为推免生遴选的重要内容。严格遵循实事求是的原则，注重对学生政治态度、思想表现、道德品质、科学精神、诚实守信、遵纪守法等方面的考查，思想品德考核不合格者不予推荐和录取。</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（二）突出考查学生的一贯学业表现。学院注重并加强对学生本科阶段学习情况的过程性评价，将本科阶段学业综合成绩作为推免工作最基础的遴选指标，不专门组织遴选推免生的考试（包括笔试、面试等）。</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综合全面评价学生。本科生在校期间获得《推免加分细则》（附件二）中所列的科研成果、竞赛获奖、参军服役、到国际组织实习等方面荣誉者，在必修课学分加权平均成绩基础上加分后进行排名。学生在某一方面中有多项加分情况时，原则上只取一项，不为仅符合单一或部分遴选指标的学生单列计划或破格推荐。学生如在校期间参加志愿服务，在同等条件下可以优先考虑。</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（四）学生与直系亲属合作的科研成果、竞赛奖项等仅作为参考，不纳入学生本人推荐遴选综合成绩计算体系，同等条件下可优先考虑。</w:t>
            </w:r>
          </w:p>
          <w:p>
            <w:pPr>
              <w:numPr>
                <w:ilvl w:val="0"/>
                <w:numId w:val="0"/>
              </w:numPr>
              <w:jc w:val="left"/>
              <w:rPr>
                <w:rFonts w:hint="default" w:ascii="楷体" w:hAnsi="楷体" w:eastAsia="楷体" w:cs="楷体"/>
                <w:b/>
                <w:bCs/>
                <w:sz w:val="24"/>
                <w:lang w:val="en-US" w:eastAsia="zh-CN"/>
              </w:rPr>
            </w:pPr>
            <w:r>
              <w:rPr>
                <w:rFonts w:hint="eastAsia" w:ascii="楷体" w:hAnsi="楷体" w:eastAsia="楷体" w:cs="楷体"/>
                <w:b/>
                <w:bCs/>
                <w:sz w:val="24"/>
                <w:lang w:val="en-US" w:eastAsia="zh-CN"/>
              </w:rPr>
              <w:t>二、工作程序及日程安排</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9月10日，学院成立推免生工作领导小组和考核小组，全面负责推免生的资格审核、材料审定、排名细则及思想品德和综合素质鉴定等所有事项，考核小组要对学生的科研成果、竞赛获奖、参军服役、志愿服务、到国际组织实习等方面进行审核。</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（二）9月13日，院推免生工作领导小组制定自动化学院《2023年推免生学院推荐工作细则》，细则包括学院推免生工作领导小组名单和考核小组名单、排名办法等内容，并呈教务处审核同意后公布实施。</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9月16日前，符合学校推免生条件的各专业学生本人填写《南京信息工程大学推荐免试研究生申请表》（附件四），与符合加分推荐证明材料一起交至院办（联系人：王恋，电话：15950591316），因疫情防控未返校的学生将材料发至学院指定的邮箱（418477480@qq.com）。</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四）9月16日，学院组织考核，通过面试质询方式审核申请人材料的真实性（因疫情防控未返校的学生可远程视频面试）；根据自动化学院推免生最终成绩评定原则和排名办法确定拟推荐名单，并于16日下班前将《自动化学院推荐情况汇总表》等材料上报教务处。</w:t>
            </w:r>
          </w:p>
          <w:p>
            <w:pPr>
              <w:jc w:val="both"/>
              <w:rPr>
                <w:rFonts w:hint="default"/>
                <w:sz w:val="21"/>
                <w:szCs w:val="21"/>
                <w:lang w:val="en-US" w:eastAsia="zh-CN"/>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668" w:type="dxa"/>
            <w:vAlign w:val="center"/>
          </w:tcPr>
          <w:p>
            <w:pPr>
              <w:jc w:val="center"/>
              <w:rPr>
                <w:sz w:val="24"/>
              </w:rPr>
            </w:pPr>
            <w:r>
              <w:rPr>
                <w:rFonts w:hint="eastAsia"/>
                <w:sz w:val="24"/>
              </w:rPr>
              <w:t>最终成绩评定原则及排名办法</w:t>
            </w:r>
          </w:p>
          <w:p>
            <w:pPr>
              <w:jc w:val="center"/>
              <w:rPr>
                <w:sz w:val="24"/>
              </w:rPr>
            </w:pPr>
          </w:p>
        </w:tc>
        <w:tc>
          <w:tcPr>
            <w:tcW w:w="7178" w:type="dxa"/>
            <w:gridSpan w:val="6"/>
            <w:vAlign w:val="center"/>
          </w:tcPr>
          <w:p>
            <w:pPr>
              <w:numPr>
                <w:ilvl w:val="0"/>
                <w:numId w:val="2"/>
              </w:numPr>
              <w:jc w:val="left"/>
              <w:rPr>
                <w:rFonts w:hint="eastAsia" w:ascii="楷体" w:hAnsi="楷体" w:eastAsia="楷体" w:cs="楷体"/>
                <w:b/>
                <w:bCs/>
                <w:sz w:val="24"/>
                <w:lang w:val="en-US" w:eastAsia="zh-CN"/>
              </w:rPr>
            </w:pPr>
            <w:r>
              <w:rPr>
                <w:rFonts w:hint="eastAsia" w:ascii="楷体" w:hAnsi="楷体" w:eastAsia="楷体" w:cs="楷体"/>
                <w:b/>
                <w:bCs/>
                <w:sz w:val="24"/>
                <w:lang w:val="en-US" w:eastAsia="zh-CN"/>
              </w:rPr>
              <w:t>最终成绩评定原则</w:t>
            </w:r>
          </w:p>
          <w:p>
            <w:pPr>
              <w:widowControl w:val="0"/>
              <w:numPr>
                <w:ilvl w:val="0"/>
                <w:numId w:val="3"/>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学生必修课学分以及各项奖励加分，须在坚持科学精神、诚实守信、遵纪守法的情况下获得。学院将严格考核学生的思想品德，对于考核不合格者不予推荐和录取。</w:t>
            </w:r>
          </w:p>
          <w:p>
            <w:pPr>
              <w:widowControl w:val="0"/>
              <w:numPr>
                <w:ilvl w:val="0"/>
                <w:numId w:val="3"/>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必修课学分为各专业人才培养方案中的课程学分，转专业同学在原专业修得的必修学分须经过现所在专业学分认定后方可纳入评定。</w:t>
            </w:r>
          </w:p>
          <w:p>
            <w:pPr>
              <w:widowControl w:val="0"/>
              <w:numPr>
                <w:ilvl w:val="0"/>
                <w:numId w:val="3"/>
              </w:numPr>
              <w:ind w:left="0" w:leftChars="0" w:firstLine="0" w:firstLineChars="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未纳入学校推免加分细则中的各类奖励，原则上不予另行加分。</w:t>
            </w:r>
          </w:p>
          <w:p>
            <w:pPr>
              <w:widowControl w:val="0"/>
              <w:numPr>
                <w:ilvl w:val="0"/>
                <w:numId w:val="3"/>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最终成绩评定以“必修课学分加权平均成绩”+“学校推免加分细则中的各单项最高分”来计算个人总分。</w:t>
            </w:r>
          </w:p>
          <w:p>
            <w:pPr>
              <w:numPr>
                <w:ilvl w:val="0"/>
                <w:numId w:val="2"/>
              </w:numPr>
              <w:ind w:left="0" w:leftChars="0" w:firstLine="0" w:firstLineChars="0"/>
              <w:jc w:val="left"/>
              <w:rPr>
                <w:rFonts w:hint="eastAsia" w:ascii="楷体" w:hAnsi="楷体" w:eastAsia="楷体" w:cs="楷体"/>
                <w:b/>
                <w:bCs/>
                <w:sz w:val="24"/>
                <w:lang w:val="en-US" w:eastAsia="zh-CN"/>
              </w:rPr>
            </w:pPr>
            <w:r>
              <w:rPr>
                <w:rFonts w:hint="eastAsia" w:ascii="楷体" w:hAnsi="楷体" w:eastAsia="楷体" w:cs="楷体"/>
                <w:b/>
                <w:bCs/>
                <w:sz w:val="24"/>
                <w:lang w:val="en-US" w:eastAsia="zh-CN"/>
              </w:rPr>
              <w:t>排名办法</w:t>
            </w:r>
          </w:p>
          <w:p>
            <w:pPr>
              <w:widowControl w:val="0"/>
              <w:numPr>
                <w:ilvl w:val="0"/>
                <w:numId w:val="4"/>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各专业内学生以必修课学分加权平均成绩基础上加分后的个人总分进行排名。</w:t>
            </w:r>
          </w:p>
          <w:p>
            <w:pPr>
              <w:widowControl w:val="0"/>
              <w:numPr>
                <w:ilvl w:val="0"/>
                <w:numId w:val="4"/>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涉及不同专业之间竞争的，采用</w:t>
            </w:r>
            <w:r>
              <w:rPr>
                <w:rFonts w:hint="eastAsia" w:ascii="楷体" w:hAnsi="楷体" w:eastAsia="楷体" w:cs="楷体"/>
                <w:b/>
                <w:bCs/>
                <w:sz w:val="21"/>
                <w:szCs w:val="21"/>
                <w:lang w:val="en-US" w:eastAsia="zh-CN"/>
              </w:rPr>
              <w:t>修正值</w:t>
            </w:r>
            <w:r>
              <w:rPr>
                <w:rFonts w:hint="eastAsia" w:ascii="楷体" w:hAnsi="楷体" w:eastAsia="楷体" w:cs="楷体"/>
                <w:sz w:val="21"/>
                <w:szCs w:val="21"/>
                <w:lang w:val="en-US" w:eastAsia="zh-CN"/>
              </w:rPr>
              <w:t>（该专业内的个人总分/所在专业第一名的总分x100）排名。</w:t>
            </w:r>
          </w:p>
          <w:p>
            <w:pPr>
              <w:widowControl w:val="0"/>
              <w:numPr>
                <w:ilvl w:val="0"/>
                <w:numId w:val="2"/>
              </w:numPr>
              <w:ind w:left="0" w:leftChars="0" w:firstLine="0" w:firstLineChars="0"/>
              <w:jc w:val="left"/>
              <w:rPr>
                <w:rFonts w:hint="eastAsia" w:ascii="楷体" w:hAnsi="楷体" w:eastAsia="楷体" w:cs="楷体"/>
                <w:b/>
                <w:bCs/>
                <w:sz w:val="24"/>
                <w:lang w:val="en-US" w:eastAsia="zh-CN"/>
              </w:rPr>
            </w:pPr>
            <w:r>
              <w:rPr>
                <w:rFonts w:hint="eastAsia" w:ascii="楷体" w:hAnsi="楷体" w:eastAsia="楷体" w:cs="楷体"/>
                <w:b/>
                <w:bCs/>
                <w:sz w:val="24"/>
                <w:lang w:val="en-US" w:eastAsia="zh-CN"/>
              </w:rPr>
              <w:t>名额分配办法</w:t>
            </w:r>
          </w:p>
          <w:p>
            <w:pPr>
              <w:widowControl w:val="0"/>
              <w:numPr>
                <w:ilvl w:val="0"/>
                <w:numId w:val="0"/>
              </w:numPr>
              <w:ind w:firstLine="420" w:firstLineChars="20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本年度自动化学院推免指标为23人，其中基本指标19个，另加3个国家一流专业建设点奖励指标和1个考研升学率上涨10%以上奖励指标。各专业的名额按基本指标和竞争指标分配。</w:t>
            </w:r>
          </w:p>
          <w:p>
            <w:pPr>
              <w:widowControl w:val="0"/>
              <w:numPr>
                <w:ilvl w:val="0"/>
                <w:numId w:val="5"/>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一流专业建设点奖励指标直接分配给所在专业，即自动化、测控技术与仪器、电气工程及其自动化三个专业各得1个指标，计入对应专业基本名额数；</w:t>
            </w:r>
          </w:p>
          <w:p>
            <w:pPr>
              <w:widowControl w:val="0"/>
              <w:numPr>
                <w:ilvl w:val="0"/>
                <w:numId w:val="5"/>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19个基本指标按各专业人数（不含留学生或直通车等同学）比例计算专业名额值，其结果向下取整，得到各专业的基本名额；本部分未分尽的名额为竞争指标，将在专业名额值尾数大于0.5的专业间，采用修正值排名方式分配。</w:t>
            </w:r>
          </w:p>
          <w:p>
            <w:pPr>
              <w:widowControl w:val="0"/>
              <w:numPr>
                <w:ilvl w:val="0"/>
                <w:numId w:val="5"/>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以上国家一流专业奖励指标和基本指标分配完毕后，余下的1个考研升学率上涨10%以上奖励指标，由各专业剩余的同学按修正值排名分配。</w:t>
            </w:r>
          </w:p>
          <w:p>
            <w:pPr>
              <w:widowControl w:val="0"/>
              <w:numPr>
                <w:ilvl w:val="0"/>
                <w:numId w:val="0"/>
              </w:numPr>
              <w:jc w:val="left"/>
              <w:rPr>
                <w:rFonts w:hint="eastAsia" w:ascii="楷体" w:hAnsi="楷体" w:eastAsia="楷体" w:cs="楷体"/>
                <w:sz w:val="21"/>
                <w:szCs w:val="21"/>
                <w:lang w:val="en-US" w:eastAsia="zh-CN"/>
              </w:rPr>
            </w:pPr>
          </w:p>
          <w:p>
            <w:pPr>
              <w:widowControl w:val="0"/>
              <w:numPr>
                <w:ilvl w:val="0"/>
                <w:numId w:val="0"/>
              </w:numPr>
              <w:jc w:val="left"/>
              <w:rPr>
                <w:rFonts w:hint="eastAsia" w:ascii="楷体" w:hAnsi="楷体" w:eastAsia="楷体" w:cs="楷体"/>
                <w:sz w:val="21"/>
                <w:szCs w:val="21"/>
                <w:lang w:val="en-US" w:eastAsia="zh-CN"/>
              </w:rPr>
            </w:pPr>
          </w:p>
          <w:p>
            <w:pPr>
              <w:widowControl w:val="0"/>
              <w:numPr>
                <w:ilvl w:val="0"/>
                <w:numId w:val="0"/>
              </w:numPr>
              <w:jc w:val="left"/>
              <w:rPr>
                <w:rFonts w:hint="default" w:ascii="楷体" w:hAnsi="楷体" w:eastAsia="楷体" w:cs="楷体"/>
                <w:b/>
                <w:bCs/>
                <w:sz w:val="24"/>
                <w:lang w:val="en-US" w:eastAsia="zh-CN"/>
              </w:rPr>
            </w:pPr>
          </w:p>
          <w:p>
            <w:pPr>
              <w:widowControl w:val="0"/>
              <w:numPr>
                <w:ilvl w:val="0"/>
                <w:numId w:val="0"/>
              </w:numPr>
              <w:jc w:val="left"/>
              <w:rPr>
                <w:rFonts w:hint="default" w:ascii="楷体" w:hAnsi="楷体" w:eastAsia="楷体" w:cs="楷体"/>
                <w:b/>
                <w:bCs/>
                <w:sz w:val="24"/>
                <w:lang w:val="en-US" w:eastAsia="zh-CN"/>
              </w:rPr>
            </w:pPr>
          </w:p>
          <w:p>
            <w:pPr>
              <w:widowControl w:val="0"/>
              <w:numPr>
                <w:ilvl w:val="0"/>
                <w:numId w:val="0"/>
              </w:numPr>
              <w:jc w:val="left"/>
              <w:rPr>
                <w:rFonts w:hint="default" w:ascii="楷体" w:hAnsi="楷体" w:eastAsia="楷体" w:cs="楷体"/>
                <w:b/>
                <w:bCs/>
                <w:sz w:val="24"/>
                <w:lang w:val="en-US" w:eastAsia="zh-CN"/>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668" w:type="dxa"/>
            <w:vAlign w:val="center"/>
          </w:tcPr>
          <w:p>
            <w:pPr>
              <w:jc w:val="center"/>
              <w:rPr>
                <w:sz w:val="24"/>
              </w:rPr>
            </w:pPr>
            <w:r>
              <w:rPr>
                <w:rFonts w:hint="eastAsia"/>
                <w:sz w:val="24"/>
              </w:rPr>
              <w:t>备注</w:t>
            </w:r>
          </w:p>
        </w:tc>
        <w:tc>
          <w:tcPr>
            <w:tcW w:w="7178" w:type="dxa"/>
            <w:gridSpan w:val="6"/>
            <w:vAlign w:val="center"/>
          </w:tcPr>
          <w:p>
            <w:pPr>
              <w:jc w:val="center"/>
            </w:pPr>
          </w:p>
          <w:p>
            <w:pPr>
              <w:jc w:val="center"/>
            </w:pPr>
          </w:p>
        </w:tc>
      </w:tr>
    </w:tbl>
    <w:p>
      <w:pPr>
        <w:ind w:firstLine="4620" w:firstLineChars="1650"/>
        <w:rPr>
          <w:rFonts w:ascii="宋体" w:hAnsi="宋体"/>
          <w:sz w:val="28"/>
          <w:szCs w:val="28"/>
        </w:rPr>
      </w:pPr>
    </w:p>
    <w:sectPr>
      <w:pgSz w:w="11906" w:h="16838"/>
      <w:pgMar w:top="1440" w:right="1286"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59E06"/>
    <w:multiLevelType w:val="singleLevel"/>
    <w:tmpl w:val="80D59E06"/>
    <w:lvl w:ilvl="0" w:tentative="0">
      <w:start w:val="1"/>
      <w:numFmt w:val="chineseCounting"/>
      <w:suff w:val="nothing"/>
      <w:lvlText w:val="%1、"/>
      <w:lvlJc w:val="left"/>
      <w:rPr>
        <w:rFonts w:hint="eastAsia"/>
      </w:rPr>
    </w:lvl>
  </w:abstractNum>
  <w:abstractNum w:abstractNumId="1">
    <w:nsid w:val="AAEB970D"/>
    <w:multiLevelType w:val="singleLevel"/>
    <w:tmpl w:val="AAEB970D"/>
    <w:lvl w:ilvl="0" w:tentative="0">
      <w:start w:val="1"/>
      <w:numFmt w:val="chineseCounting"/>
      <w:suff w:val="nothing"/>
      <w:lvlText w:val="（%1）"/>
      <w:lvlJc w:val="left"/>
      <w:rPr>
        <w:rFonts w:hint="eastAsia"/>
      </w:rPr>
    </w:lvl>
  </w:abstractNum>
  <w:abstractNum w:abstractNumId="2">
    <w:nsid w:val="041B3838"/>
    <w:multiLevelType w:val="singleLevel"/>
    <w:tmpl w:val="041B3838"/>
    <w:lvl w:ilvl="0" w:tentative="0">
      <w:start w:val="1"/>
      <w:numFmt w:val="chineseCounting"/>
      <w:suff w:val="nothing"/>
      <w:lvlText w:val="（%1）"/>
      <w:lvlJc w:val="left"/>
      <w:rPr>
        <w:rFonts w:hint="eastAsia"/>
      </w:rPr>
    </w:lvl>
  </w:abstractNum>
  <w:abstractNum w:abstractNumId="3">
    <w:nsid w:val="75A5CA44"/>
    <w:multiLevelType w:val="singleLevel"/>
    <w:tmpl w:val="75A5CA44"/>
    <w:lvl w:ilvl="0" w:tentative="0">
      <w:start w:val="1"/>
      <w:numFmt w:val="chineseCounting"/>
      <w:suff w:val="nothing"/>
      <w:lvlText w:val="%1、"/>
      <w:lvlJc w:val="left"/>
      <w:rPr>
        <w:rFonts w:hint="eastAsia"/>
      </w:rPr>
    </w:lvl>
  </w:abstractNum>
  <w:abstractNum w:abstractNumId="4">
    <w:nsid w:val="75C4BE38"/>
    <w:multiLevelType w:val="singleLevel"/>
    <w:tmpl w:val="75C4BE38"/>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Tk2YjczYTRkMTRmODJkNDg3YmIyNWVmNjNlOWMifQ=="/>
  </w:docVars>
  <w:rsids>
    <w:rsidRoot w:val="008B7C05"/>
    <w:rsid w:val="00026A88"/>
    <w:rsid w:val="00042860"/>
    <w:rsid w:val="000D1497"/>
    <w:rsid w:val="000E2346"/>
    <w:rsid w:val="000E3888"/>
    <w:rsid w:val="00120095"/>
    <w:rsid w:val="001351A9"/>
    <w:rsid w:val="001521FF"/>
    <w:rsid w:val="00176D30"/>
    <w:rsid w:val="00193565"/>
    <w:rsid w:val="001E59F2"/>
    <w:rsid w:val="001F5A4D"/>
    <w:rsid w:val="0022481D"/>
    <w:rsid w:val="00231F08"/>
    <w:rsid w:val="00236920"/>
    <w:rsid w:val="00255DC7"/>
    <w:rsid w:val="00257A76"/>
    <w:rsid w:val="00273C4D"/>
    <w:rsid w:val="00293238"/>
    <w:rsid w:val="00327648"/>
    <w:rsid w:val="003474B1"/>
    <w:rsid w:val="00365052"/>
    <w:rsid w:val="003745AD"/>
    <w:rsid w:val="003C1417"/>
    <w:rsid w:val="003C1C0C"/>
    <w:rsid w:val="003E2148"/>
    <w:rsid w:val="00426697"/>
    <w:rsid w:val="004709BF"/>
    <w:rsid w:val="004A4A88"/>
    <w:rsid w:val="004B6D76"/>
    <w:rsid w:val="00516F0B"/>
    <w:rsid w:val="00593F9F"/>
    <w:rsid w:val="00597397"/>
    <w:rsid w:val="005B676E"/>
    <w:rsid w:val="005D06CC"/>
    <w:rsid w:val="00602B89"/>
    <w:rsid w:val="00624D1E"/>
    <w:rsid w:val="00670609"/>
    <w:rsid w:val="006A1F21"/>
    <w:rsid w:val="006A2EF8"/>
    <w:rsid w:val="006D0039"/>
    <w:rsid w:val="0071124E"/>
    <w:rsid w:val="00730502"/>
    <w:rsid w:val="00756270"/>
    <w:rsid w:val="007E0B16"/>
    <w:rsid w:val="007E570C"/>
    <w:rsid w:val="00821E93"/>
    <w:rsid w:val="00830B8B"/>
    <w:rsid w:val="008313DA"/>
    <w:rsid w:val="008A1F24"/>
    <w:rsid w:val="008B7C05"/>
    <w:rsid w:val="00903320"/>
    <w:rsid w:val="00912F2A"/>
    <w:rsid w:val="0092451F"/>
    <w:rsid w:val="00930F92"/>
    <w:rsid w:val="00932E1B"/>
    <w:rsid w:val="009521F4"/>
    <w:rsid w:val="00954474"/>
    <w:rsid w:val="009C223C"/>
    <w:rsid w:val="00A26723"/>
    <w:rsid w:val="00A55A7E"/>
    <w:rsid w:val="00A80828"/>
    <w:rsid w:val="00AC15D3"/>
    <w:rsid w:val="00B00533"/>
    <w:rsid w:val="00B15CB3"/>
    <w:rsid w:val="00B52DF1"/>
    <w:rsid w:val="00B65825"/>
    <w:rsid w:val="00B73AF1"/>
    <w:rsid w:val="00B94F53"/>
    <w:rsid w:val="00BA4E7E"/>
    <w:rsid w:val="00BE608B"/>
    <w:rsid w:val="00C86C9B"/>
    <w:rsid w:val="00D05495"/>
    <w:rsid w:val="00D13477"/>
    <w:rsid w:val="00D34C15"/>
    <w:rsid w:val="00D46158"/>
    <w:rsid w:val="00D60DB4"/>
    <w:rsid w:val="00D70B88"/>
    <w:rsid w:val="00D7116B"/>
    <w:rsid w:val="00D82EDE"/>
    <w:rsid w:val="00DD13EA"/>
    <w:rsid w:val="00E22130"/>
    <w:rsid w:val="00E34F77"/>
    <w:rsid w:val="00E71799"/>
    <w:rsid w:val="00E94BF7"/>
    <w:rsid w:val="00EB257D"/>
    <w:rsid w:val="00ED4EBB"/>
    <w:rsid w:val="00F0232A"/>
    <w:rsid w:val="00F24F47"/>
    <w:rsid w:val="00F34C45"/>
    <w:rsid w:val="00F45DFD"/>
    <w:rsid w:val="00F855B9"/>
    <w:rsid w:val="00FA2490"/>
    <w:rsid w:val="00FD4B7A"/>
    <w:rsid w:val="00FF7B10"/>
    <w:rsid w:val="06516F51"/>
    <w:rsid w:val="10443ADC"/>
    <w:rsid w:val="307F2017"/>
    <w:rsid w:val="3A2D6279"/>
    <w:rsid w:val="42D47CB1"/>
    <w:rsid w:val="4BE654BD"/>
    <w:rsid w:val="552E24C4"/>
    <w:rsid w:val="57330F78"/>
    <w:rsid w:val="59734380"/>
    <w:rsid w:val="78451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20" w:lineRule="atLeast"/>
      <w:ind w:firstLine="689" w:firstLineChars="246"/>
    </w:pPr>
    <w:rPr>
      <w:rFonts w:hint="eastAsia" w:ascii="仿宋_GB2312" w:eastAsia="仿宋_GB2312"/>
      <w:sz w:val="28"/>
      <w:szCs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E9A5-7F8B-41F5-9DA8-2B26CF940A4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1659</Words>
  <Characters>1708</Characters>
  <Lines>1</Lines>
  <Paragraphs>1</Paragraphs>
  <TotalTime>8</TotalTime>
  <ScaleCrop>false</ScaleCrop>
  <LinksUpToDate>false</LinksUpToDate>
  <CharactersWithSpaces>1717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2014-09-02T11:35:00Z</dcterms:created>
  <dc:creator>雨林木风</dc:creator>
  <cp:lastModifiedBy>爱笑的眼睛</cp:lastModifiedBy>
  <cp:lastPrinted>2011-09-15T02:39:00Z</cp:lastPrinted>
  <dcterms:modified xsi:type="dcterms:W3CDTF">2022-09-14T06:01:17Z</dcterms:modified>
  <dc:title>附件二</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2768F6EA006E4741A9CA55A2EF2F1030</vt:lpwstr>
  </property>
</Properties>
</file>