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Lines="50" w:afterLines="100" w:line="420" w:lineRule="exact"/>
        <w:jc w:val="center"/>
        <w:rPr>
          <w:rFonts w:hint="eastAsia" w:ascii="黑体" w:hAnsi="黑体" w:eastAsia="黑体" w:cs="宋体"/>
          <w:b/>
          <w:kern w:val="0"/>
          <w:sz w:val="32"/>
          <w:szCs w:val="32"/>
          <w:lang w:eastAsia="zh-CN"/>
        </w:rPr>
      </w:pPr>
      <w:r>
        <w:rPr>
          <w:rFonts w:hint="eastAsia" w:ascii="黑体" w:hAnsi="黑体" w:eastAsia="黑体" w:cs="宋体"/>
          <w:b/>
          <w:kern w:val="0"/>
          <w:sz w:val="32"/>
          <w:szCs w:val="32"/>
        </w:rPr>
        <w:t>自动化学院研究生国家奖学金评审细则</w:t>
      </w:r>
      <w:r>
        <w:rPr>
          <w:rFonts w:hint="eastAsia" w:ascii="黑体" w:hAnsi="黑体" w:eastAsia="黑体" w:cs="宋体"/>
          <w:b/>
          <w:kern w:val="0"/>
          <w:sz w:val="32"/>
          <w:szCs w:val="32"/>
          <w:lang w:eastAsia="zh-CN"/>
        </w:rPr>
        <w:t>（</w:t>
      </w:r>
      <w:r>
        <w:rPr>
          <w:rFonts w:hint="eastAsia" w:ascii="黑体" w:hAnsi="黑体" w:eastAsia="黑体" w:cs="宋体"/>
          <w:b/>
          <w:kern w:val="0"/>
          <w:sz w:val="32"/>
          <w:szCs w:val="32"/>
          <w:lang w:val="en-US" w:eastAsia="zh-CN"/>
        </w:rPr>
        <w:t>2022年修订</w:t>
      </w:r>
      <w:r>
        <w:rPr>
          <w:rFonts w:hint="eastAsia" w:ascii="黑体" w:hAnsi="黑体" w:eastAsia="黑体" w:cs="宋体"/>
          <w:b/>
          <w:kern w:val="0"/>
          <w:sz w:val="32"/>
          <w:szCs w:val="32"/>
          <w:lang w:eastAsia="zh-CN"/>
        </w:rPr>
        <w:t>）</w:t>
      </w:r>
    </w:p>
    <w:p>
      <w:pPr>
        <w:widowControl/>
        <w:shd w:val="clear" w:color="auto"/>
        <w:spacing w:line="360" w:lineRule="auto"/>
        <w:ind w:firstLine="480" w:firstLineChars="200"/>
        <w:jc w:val="left"/>
        <w:rPr>
          <w:kern w:val="0"/>
          <w:sz w:val="24"/>
        </w:rPr>
      </w:pPr>
      <w:r>
        <w:rPr>
          <w:kern w:val="0"/>
          <w:sz w:val="24"/>
        </w:rPr>
        <w:t>根据《财政部 教育部 人力资源社会保障部 退役军人部 中央军委国防动员部关于印发&lt;学生资助资金管理办法&gt;的通知》（财科教〔2019〕19号）、</w:t>
      </w:r>
      <w:r>
        <w:rPr>
          <w:rFonts w:hint="eastAsia"/>
          <w:kern w:val="0"/>
          <w:sz w:val="24"/>
        </w:rPr>
        <w:t>《</w:t>
      </w:r>
      <w:r>
        <w:rPr>
          <w:kern w:val="0"/>
          <w:sz w:val="24"/>
        </w:rPr>
        <w:t>省教育厅关于做好2021年普通高校国家奖学金有关工作的通知》（苏教助函（2021）12号）和《南京信息工程大学研究生国家奖学金管理办法（修订）》（研工发[2021]10号）等文件精神，</w:t>
      </w:r>
      <w:r>
        <w:rPr>
          <w:rFonts w:hint="eastAsia"/>
          <w:kern w:val="0"/>
          <w:sz w:val="24"/>
        </w:rPr>
        <w:t>现拟定自动化学院研究生国家奖学金评审细则如下</w:t>
      </w:r>
      <w:r>
        <w:rPr>
          <w:kern w:val="0"/>
          <w:sz w:val="24"/>
        </w:rPr>
        <w:t>：</w:t>
      </w:r>
    </w:p>
    <w:p>
      <w:pPr>
        <w:widowControl/>
        <w:spacing w:line="360" w:lineRule="auto"/>
        <w:ind w:firstLine="482" w:firstLineChars="200"/>
        <w:jc w:val="left"/>
        <w:rPr>
          <w:b/>
          <w:kern w:val="0"/>
          <w:sz w:val="24"/>
        </w:rPr>
      </w:pPr>
      <w:r>
        <w:rPr>
          <w:b/>
          <w:kern w:val="0"/>
          <w:sz w:val="24"/>
        </w:rPr>
        <w:t>一、奖励对象与标准</w:t>
      </w:r>
    </w:p>
    <w:p>
      <w:pPr>
        <w:widowControl/>
        <w:spacing w:line="360" w:lineRule="auto"/>
        <w:ind w:firstLine="480" w:firstLineChars="200"/>
        <w:jc w:val="left"/>
        <w:rPr>
          <w:kern w:val="0"/>
          <w:sz w:val="24"/>
        </w:rPr>
      </w:pPr>
      <w:r>
        <w:rPr>
          <w:kern w:val="0"/>
          <w:sz w:val="24"/>
        </w:rPr>
        <w:t>1.研究生国家奖学金用于奖励全日制在校二年级、三年级表现优异的硕、博士研究生（录取类别为计划内定向和委托培养的除外）。</w:t>
      </w:r>
    </w:p>
    <w:p>
      <w:pPr>
        <w:widowControl/>
        <w:spacing w:line="360" w:lineRule="auto"/>
        <w:ind w:firstLine="480" w:firstLineChars="200"/>
        <w:jc w:val="left"/>
        <w:rPr>
          <w:rFonts w:ascii="宋体" w:hAnsi="宋体" w:cs="宋体"/>
          <w:sz w:val="24"/>
        </w:rPr>
      </w:pPr>
      <w:r>
        <w:rPr>
          <w:kern w:val="0"/>
          <w:sz w:val="24"/>
        </w:rPr>
        <w:t>2.博士研究生奖励标准为每生3万元，硕士研究生奖励标准为每生2万元。</w:t>
      </w:r>
      <w:r>
        <w:rPr>
          <w:rFonts w:hint="eastAsia" w:ascii="宋体" w:hAnsi="宋体" w:cs="宋体"/>
          <w:sz w:val="24"/>
        </w:rPr>
        <w:t> </w:t>
      </w:r>
    </w:p>
    <w:p>
      <w:pPr>
        <w:widowControl/>
        <w:spacing w:line="360" w:lineRule="auto"/>
        <w:ind w:firstLine="482" w:firstLineChars="200"/>
        <w:jc w:val="left"/>
        <w:rPr>
          <w:b/>
          <w:kern w:val="0"/>
          <w:sz w:val="24"/>
        </w:rPr>
      </w:pPr>
      <w:r>
        <w:rPr>
          <w:b/>
          <w:kern w:val="0"/>
          <w:sz w:val="24"/>
        </w:rPr>
        <w:t>二、评审方式与指标</w:t>
      </w:r>
    </w:p>
    <w:p>
      <w:pPr>
        <w:widowControl/>
        <w:spacing w:line="360" w:lineRule="auto"/>
        <w:ind w:firstLine="480" w:firstLineChars="200"/>
        <w:jc w:val="left"/>
        <w:rPr>
          <w:kern w:val="0"/>
          <w:sz w:val="24"/>
        </w:rPr>
      </w:pPr>
      <w:r>
        <w:rPr>
          <w:kern w:val="0"/>
          <w:sz w:val="24"/>
        </w:rPr>
        <w:t>1.按照省教育厅相关文件精神，坚持好中选优，以“差额评选”方式进行。</w:t>
      </w:r>
    </w:p>
    <w:p>
      <w:pPr>
        <w:widowControl/>
        <w:spacing w:line="360" w:lineRule="auto"/>
        <w:ind w:firstLine="480" w:firstLineChars="200"/>
        <w:jc w:val="left"/>
        <w:rPr>
          <w:kern w:val="0"/>
          <w:sz w:val="24"/>
        </w:rPr>
      </w:pPr>
      <w:r>
        <w:rPr>
          <w:kern w:val="0"/>
          <w:sz w:val="24"/>
        </w:rPr>
        <w:t>2.</w:t>
      </w:r>
      <w:r>
        <w:rPr>
          <w:rFonts w:hint="eastAsia"/>
          <w:kern w:val="0"/>
          <w:sz w:val="24"/>
        </w:rPr>
        <w:t>学校</w:t>
      </w:r>
      <w:r>
        <w:rPr>
          <w:kern w:val="0"/>
          <w:sz w:val="24"/>
        </w:rPr>
        <w:t>根据省教育厅下达我校</w:t>
      </w:r>
      <w:r>
        <w:rPr>
          <w:rFonts w:hint="eastAsia"/>
          <w:kern w:val="0"/>
          <w:sz w:val="24"/>
        </w:rPr>
        <w:t>的</w:t>
      </w:r>
      <w:r>
        <w:rPr>
          <w:kern w:val="0"/>
          <w:sz w:val="24"/>
        </w:rPr>
        <w:t>评审指标</w:t>
      </w:r>
      <w:r>
        <w:rPr>
          <w:rFonts w:hint="eastAsia"/>
          <w:kern w:val="0"/>
          <w:sz w:val="24"/>
        </w:rPr>
        <w:t>，结合</w:t>
      </w:r>
      <w:r>
        <w:rPr>
          <w:kern w:val="0"/>
          <w:sz w:val="24"/>
        </w:rPr>
        <w:t>各学院参评人数，按比例下达</w:t>
      </w:r>
      <w:r>
        <w:rPr>
          <w:rFonts w:hint="eastAsia"/>
          <w:kern w:val="0"/>
          <w:sz w:val="24"/>
        </w:rPr>
        <w:t>各</w:t>
      </w:r>
      <w:r>
        <w:rPr>
          <w:kern w:val="0"/>
          <w:sz w:val="24"/>
        </w:rPr>
        <w:t>学院</w:t>
      </w:r>
      <w:r>
        <w:rPr>
          <w:rFonts w:hint="eastAsia"/>
          <w:kern w:val="0"/>
          <w:sz w:val="24"/>
        </w:rPr>
        <w:t>的</w:t>
      </w:r>
      <w:r>
        <w:rPr>
          <w:kern w:val="0"/>
          <w:sz w:val="24"/>
        </w:rPr>
        <w:t>评审指标</w:t>
      </w:r>
      <w:r>
        <w:rPr>
          <w:rFonts w:hint="eastAsia"/>
          <w:kern w:val="0"/>
          <w:sz w:val="24"/>
        </w:rPr>
        <w:t>。</w:t>
      </w:r>
      <w:r>
        <w:rPr>
          <w:kern w:val="0"/>
          <w:sz w:val="24"/>
        </w:rPr>
        <w:t>由学院组织初评</w:t>
      </w:r>
      <w:r>
        <w:rPr>
          <w:rFonts w:hint="eastAsia"/>
          <w:kern w:val="0"/>
          <w:sz w:val="24"/>
        </w:rPr>
        <w:t>，推选出等额推荐与差额选拔的学生</w:t>
      </w:r>
      <w:r>
        <w:rPr>
          <w:kern w:val="0"/>
          <w:sz w:val="24"/>
        </w:rPr>
        <w:t>。</w:t>
      </w:r>
    </w:p>
    <w:p>
      <w:pPr>
        <w:widowControl/>
        <w:spacing w:line="360" w:lineRule="auto"/>
        <w:ind w:firstLine="480" w:firstLineChars="200"/>
        <w:jc w:val="left"/>
        <w:rPr>
          <w:kern w:val="0"/>
          <w:sz w:val="24"/>
        </w:rPr>
      </w:pPr>
      <w:r>
        <w:rPr>
          <w:kern w:val="0"/>
          <w:sz w:val="24"/>
        </w:rPr>
        <w:t>3</w:t>
      </w:r>
      <w:r>
        <w:rPr>
          <w:rFonts w:hint="eastAsia"/>
          <w:kern w:val="0"/>
          <w:sz w:val="24"/>
        </w:rPr>
        <w:t>.差额</w:t>
      </w:r>
      <w:r>
        <w:rPr>
          <w:kern w:val="0"/>
          <w:sz w:val="24"/>
        </w:rPr>
        <w:t>同学上报</w:t>
      </w:r>
      <w:r>
        <w:rPr>
          <w:rFonts w:hint="eastAsia"/>
          <w:kern w:val="0"/>
          <w:sz w:val="24"/>
        </w:rPr>
        <w:t>后</w:t>
      </w:r>
      <w:r>
        <w:rPr>
          <w:kern w:val="0"/>
          <w:sz w:val="24"/>
        </w:rPr>
        <w:t>，将会以答辩形式进行评选。</w:t>
      </w:r>
    </w:p>
    <w:p>
      <w:pPr>
        <w:widowControl/>
        <w:spacing w:line="360" w:lineRule="auto"/>
        <w:ind w:firstLine="482" w:firstLineChars="200"/>
        <w:jc w:val="left"/>
        <w:rPr>
          <w:b/>
          <w:kern w:val="0"/>
          <w:sz w:val="24"/>
        </w:rPr>
      </w:pPr>
      <w:r>
        <w:rPr>
          <w:b/>
          <w:kern w:val="0"/>
          <w:sz w:val="24"/>
        </w:rPr>
        <w:t>三、申报条件</w:t>
      </w:r>
      <w:bookmarkStart w:id="0" w:name="_GoBack"/>
      <w:bookmarkEnd w:id="0"/>
    </w:p>
    <w:p>
      <w:pPr>
        <w:widowControl/>
        <w:spacing w:line="360" w:lineRule="auto"/>
        <w:ind w:firstLine="480" w:firstLineChars="200"/>
        <w:jc w:val="left"/>
        <w:rPr>
          <w:kern w:val="0"/>
          <w:sz w:val="24"/>
        </w:rPr>
      </w:pPr>
      <w:r>
        <w:rPr>
          <w:kern w:val="0"/>
          <w:sz w:val="24"/>
        </w:rPr>
        <w:t>（一）基本条件</w:t>
      </w:r>
    </w:p>
    <w:p>
      <w:pPr>
        <w:widowControl/>
        <w:spacing w:line="360" w:lineRule="auto"/>
        <w:ind w:firstLine="480" w:firstLineChars="200"/>
        <w:jc w:val="left"/>
        <w:rPr>
          <w:kern w:val="0"/>
          <w:sz w:val="24"/>
        </w:rPr>
      </w:pPr>
      <w:r>
        <w:rPr>
          <w:kern w:val="0"/>
          <w:sz w:val="24"/>
        </w:rPr>
        <w:t>1.热爱社会主义祖国，拥护中国共产党的领导；</w:t>
      </w:r>
    </w:p>
    <w:p>
      <w:pPr>
        <w:widowControl/>
        <w:spacing w:line="360" w:lineRule="auto"/>
        <w:ind w:firstLine="480" w:firstLineChars="200"/>
        <w:jc w:val="left"/>
        <w:rPr>
          <w:kern w:val="0"/>
          <w:sz w:val="24"/>
        </w:rPr>
      </w:pPr>
      <w:r>
        <w:rPr>
          <w:kern w:val="0"/>
          <w:sz w:val="24"/>
        </w:rPr>
        <w:t>2.遵守宪法和法律，遵守学校规章制度；</w:t>
      </w:r>
    </w:p>
    <w:p>
      <w:pPr>
        <w:widowControl/>
        <w:spacing w:line="360" w:lineRule="auto"/>
        <w:ind w:firstLine="480" w:firstLineChars="200"/>
        <w:jc w:val="left"/>
        <w:rPr>
          <w:kern w:val="0"/>
          <w:sz w:val="24"/>
        </w:rPr>
      </w:pPr>
      <w:r>
        <w:rPr>
          <w:kern w:val="0"/>
          <w:sz w:val="24"/>
        </w:rPr>
        <w:t>3.诚实守信，品学兼优；</w:t>
      </w:r>
    </w:p>
    <w:p>
      <w:pPr>
        <w:widowControl/>
        <w:spacing w:line="360" w:lineRule="auto"/>
        <w:ind w:firstLine="480" w:firstLineChars="200"/>
        <w:jc w:val="left"/>
        <w:rPr>
          <w:kern w:val="0"/>
          <w:sz w:val="24"/>
        </w:rPr>
      </w:pPr>
      <w:r>
        <w:rPr>
          <w:kern w:val="0"/>
          <w:sz w:val="24"/>
        </w:rPr>
        <w:t>4.</w:t>
      </w:r>
      <w:r>
        <w:t xml:space="preserve"> </w:t>
      </w:r>
      <w:r>
        <w:rPr>
          <w:kern w:val="0"/>
          <w:sz w:val="24"/>
        </w:rPr>
        <w:t>积极参与科学研究和社会实践。</w:t>
      </w:r>
    </w:p>
    <w:p>
      <w:pPr>
        <w:widowControl/>
        <w:shd w:val="clear" w:color="auto"/>
        <w:spacing w:line="360" w:lineRule="auto"/>
        <w:ind w:firstLine="480" w:firstLineChars="200"/>
        <w:jc w:val="left"/>
        <w:rPr>
          <w:kern w:val="0"/>
          <w:sz w:val="24"/>
        </w:rPr>
      </w:pPr>
      <w:r>
        <w:rPr>
          <w:rFonts w:hint="eastAsia"/>
          <w:kern w:val="0"/>
          <w:sz w:val="24"/>
        </w:rPr>
        <w:t>（二）博士研究生</w:t>
      </w:r>
      <w:r>
        <w:rPr>
          <w:kern w:val="0"/>
          <w:sz w:val="24"/>
        </w:rPr>
        <w:t>参评国家奖学金成果</w:t>
      </w:r>
      <w:r>
        <w:rPr>
          <w:rFonts w:hint="eastAsia"/>
          <w:kern w:val="0"/>
          <w:sz w:val="24"/>
        </w:rPr>
        <w:t>须以南京信息工程大学为第一署名单位，且成果需满足以下基本条件之一：</w:t>
      </w:r>
    </w:p>
    <w:p>
      <w:pPr>
        <w:widowControl/>
        <w:shd w:val="clear" w:color="auto"/>
        <w:spacing w:line="360" w:lineRule="auto"/>
        <w:ind w:firstLine="480" w:firstLineChars="200"/>
        <w:jc w:val="left"/>
        <w:rPr>
          <w:kern w:val="0"/>
          <w:sz w:val="24"/>
        </w:rPr>
      </w:pPr>
      <w:r>
        <w:rPr>
          <w:rFonts w:hint="eastAsia"/>
          <w:kern w:val="0"/>
          <w:sz w:val="24"/>
        </w:rPr>
        <w:t>1</w:t>
      </w:r>
      <w:r>
        <w:rPr>
          <w:kern w:val="0"/>
          <w:sz w:val="24"/>
        </w:rPr>
        <w:t>.</w:t>
      </w:r>
      <w:r>
        <w:rPr>
          <w:rFonts w:hint="eastAsia"/>
          <w:kern w:val="0"/>
          <w:sz w:val="24"/>
        </w:rPr>
        <w:t>学术论文</w:t>
      </w:r>
    </w:p>
    <w:p>
      <w:pPr>
        <w:widowControl/>
        <w:shd w:val="clear" w:color="auto"/>
        <w:spacing w:line="360" w:lineRule="auto"/>
        <w:ind w:firstLine="480" w:firstLineChars="200"/>
        <w:jc w:val="left"/>
        <w:rPr>
          <w:kern w:val="0"/>
          <w:sz w:val="24"/>
        </w:rPr>
      </w:pPr>
      <w:r>
        <w:rPr>
          <w:rFonts w:hint="eastAsia"/>
          <w:kern w:val="0"/>
          <w:sz w:val="24"/>
        </w:rPr>
        <w:t>发表A级高质量论文1篇（排名前5）；</w:t>
      </w:r>
    </w:p>
    <w:p>
      <w:pPr>
        <w:widowControl/>
        <w:shd w:val="clear" w:color="auto"/>
        <w:spacing w:line="360" w:lineRule="auto"/>
        <w:ind w:firstLine="480" w:firstLineChars="200"/>
        <w:jc w:val="left"/>
        <w:rPr>
          <w:kern w:val="0"/>
          <w:sz w:val="24"/>
        </w:rPr>
      </w:pPr>
      <w:r>
        <w:rPr>
          <w:rFonts w:hint="eastAsia"/>
          <w:kern w:val="0"/>
          <w:sz w:val="24"/>
        </w:rPr>
        <w:t>或以第一作者发表D级及以上高质量论文至少1篇。</w:t>
      </w:r>
    </w:p>
    <w:p>
      <w:pPr>
        <w:widowControl/>
        <w:shd w:val="clear" w:color="auto"/>
        <w:spacing w:line="440" w:lineRule="exact"/>
        <w:ind w:firstLine="480" w:firstLineChars="200"/>
        <w:jc w:val="left"/>
        <w:rPr>
          <w:kern w:val="0"/>
          <w:sz w:val="24"/>
        </w:rPr>
      </w:pPr>
    </w:p>
    <w:p>
      <w:pPr>
        <w:widowControl/>
        <w:shd w:val="clear" w:color="auto"/>
        <w:spacing w:line="440" w:lineRule="exact"/>
        <w:ind w:firstLine="480" w:firstLineChars="200"/>
        <w:jc w:val="left"/>
        <w:rPr>
          <w:kern w:val="0"/>
          <w:sz w:val="24"/>
        </w:rPr>
      </w:pPr>
    </w:p>
    <w:p>
      <w:pPr>
        <w:widowControl/>
        <w:shd w:val="clear" w:color="auto"/>
        <w:spacing w:line="440" w:lineRule="exact"/>
        <w:jc w:val="left"/>
        <w:rPr>
          <w:kern w:val="0"/>
          <w:sz w:val="24"/>
        </w:rPr>
      </w:pPr>
    </w:p>
    <w:p>
      <w:pPr>
        <w:shd w:val="clear" w:color="auto"/>
        <w:adjustRightInd w:val="0"/>
        <w:snapToGrid w:val="0"/>
        <w:ind w:firstLine="420"/>
        <w:jc w:val="center"/>
        <w:rPr>
          <w:szCs w:val="21"/>
        </w:rPr>
      </w:pPr>
      <w:r>
        <w:rPr>
          <w:szCs w:val="21"/>
        </w:rPr>
        <w:t>表</w:t>
      </w:r>
      <w:r>
        <w:rPr>
          <w:rFonts w:hint="eastAsia"/>
          <w:szCs w:val="21"/>
        </w:rPr>
        <w:t>1</w:t>
      </w:r>
      <w:r>
        <w:rPr>
          <w:szCs w:val="21"/>
        </w:rPr>
        <w:t xml:space="preserve"> 高质量论文分级标准</w:t>
      </w:r>
    </w:p>
    <w:tbl>
      <w:tblPr>
        <w:tblStyle w:val="8"/>
        <w:tblW w:w="5000" w:type="pct"/>
        <w:jc w:val="center"/>
        <w:tblLayout w:type="autofit"/>
        <w:tblCellMar>
          <w:top w:w="0" w:type="dxa"/>
          <w:left w:w="108" w:type="dxa"/>
          <w:bottom w:w="0" w:type="dxa"/>
          <w:right w:w="108" w:type="dxa"/>
        </w:tblCellMar>
      </w:tblPr>
      <w:tblGrid>
        <w:gridCol w:w="1106"/>
        <w:gridCol w:w="4276"/>
        <w:gridCol w:w="3140"/>
      </w:tblGrid>
      <w:tr>
        <w:tblPrEx>
          <w:tblCellMar>
            <w:top w:w="0" w:type="dxa"/>
            <w:left w:w="108" w:type="dxa"/>
            <w:bottom w:w="0" w:type="dxa"/>
            <w:right w:w="108" w:type="dxa"/>
          </w:tblCellMar>
        </w:tblPrEx>
        <w:trPr>
          <w:trHeight w:val="375" w:hRule="atLeast"/>
          <w:jc w:val="center"/>
        </w:trPr>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宋体" w:hAnsi="宋体" w:cs="宋体"/>
                <w:b/>
                <w:bCs/>
                <w:color w:val="000000"/>
                <w:kern w:val="0"/>
                <w:szCs w:val="21"/>
              </w:rPr>
            </w:pPr>
            <w:r>
              <w:rPr>
                <w:rFonts w:hint="eastAsia" w:ascii="宋体" w:hAnsi="宋体" w:cs="宋体"/>
                <w:b/>
                <w:bCs/>
                <w:color w:val="000000"/>
                <w:kern w:val="0"/>
                <w:szCs w:val="21"/>
              </w:rPr>
              <w:t>等级</w:t>
            </w:r>
          </w:p>
        </w:tc>
        <w:tc>
          <w:tcPr>
            <w:tcW w:w="25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ind w:firstLine="422"/>
              <w:jc w:val="center"/>
              <w:rPr>
                <w:rFonts w:ascii="宋体" w:hAnsi="宋体" w:cs="宋体"/>
                <w:b/>
                <w:bCs/>
                <w:color w:val="000000"/>
                <w:kern w:val="0"/>
                <w:szCs w:val="21"/>
              </w:rPr>
            </w:pPr>
            <w:r>
              <w:rPr>
                <w:rFonts w:hint="eastAsia" w:ascii="宋体" w:hAnsi="宋体" w:cs="宋体"/>
                <w:b/>
                <w:bCs/>
                <w:color w:val="000000"/>
                <w:kern w:val="0"/>
                <w:szCs w:val="21"/>
              </w:rPr>
              <w:t>理工科</w:t>
            </w:r>
          </w:p>
        </w:tc>
        <w:tc>
          <w:tcPr>
            <w:tcW w:w="1842" w:type="pct"/>
            <w:tcBorders>
              <w:top w:val="single" w:color="auto" w:sz="4" w:space="0"/>
              <w:left w:val="nil"/>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宋体" w:hAnsi="宋体" w:cs="宋体"/>
                <w:b/>
                <w:bCs/>
                <w:color w:val="000000"/>
                <w:kern w:val="0"/>
                <w:szCs w:val="21"/>
              </w:rPr>
            </w:pPr>
            <w:r>
              <w:rPr>
                <w:rFonts w:hint="eastAsia" w:ascii="宋体" w:hAnsi="宋体" w:cs="宋体"/>
                <w:b/>
                <w:bCs/>
                <w:color w:val="000000"/>
                <w:kern w:val="0"/>
                <w:szCs w:val="21"/>
              </w:rPr>
              <w:t>文科</w:t>
            </w:r>
          </w:p>
        </w:tc>
      </w:tr>
      <w:tr>
        <w:tblPrEx>
          <w:tblCellMar>
            <w:top w:w="0" w:type="dxa"/>
            <w:left w:w="108" w:type="dxa"/>
            <w:bottom w:w="0" w:type="dxa"/>
            <w:right w:w="108" w:type="dxa"/>
          </w:tblCellMar>
        </w:tblPrEx>
        <w:trPr>
          <w:trHeight w:val="158" w:hRule="atLeast"/>
          <w:jc w:val="center"/>
        </w:trPr>
        <w:tc>
          <w:tcPr>
            <w:tcW w:w="649" w:type="pct"/>
            <w:vMerge w:val="restart"/>
            <w:tcBorders>
              <w:top w:val="nil"/>
              <w:left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A级</w:t>
            </w:r>
          </w:p>
        </w:tc>
        <w:tc>
          <w:tcPr>
            <w:tcW w:w="2509" w:type="pct"/>
            <w:tcBorders>
              <w:top w:val="nil"/>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三高期刊库特级期刊</w:t>
            </w:r>
          </w:p>
        </w:tc>
        <w:tc>
          <w:tcPr>
            <w:tcW w:w="1842" w:type="pct"/>
            <w:vMerge w:val="restart"/>
            <w:tcBorders>
              <w:top w:val="nil"/>
              <w:left w:val="nil"/>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中国社会科学</w:t>
            </w:r>
          </w:p>
        </w:tc>
      </w:tr>
      <w:tr>
        <w:tblPrEx>
          <w:tblCellMar>
            <w:top w:w="0" w:type="dxa"/>
            <w:left w:w="108" w:type="dxa"/>
            <w:bottom w:w="0" w:type="dxa"/>
            <w:right w:w="108" w:type="dxa"/>
          </w:tblCellMar>
        </w:tblPrEx>
        <w:trPr>
          <w:trHeight w:val="157" w:hRule="atLeast"/>
          <w:jc w:val="center"/>
        </w:trPr>
        <w:tc>
          <w:tcPr>
            <w:tcW w:w="649" w:type="pct"/>
            <w:vMerge w:val="continue"/>
            <w:tcBorders>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ind w:firstLine="420"/>
              <w:jc w:val="center"/>
              <w:rPr>
                <w:rFonts w:ascii="仿宋_GB2312" w:hAnsi="仿宋_GB2312" w:eastAsia="仿宋_GB2312" w:cs="仿宋_GB2312"/>
                <w:color w:val="000000"/>
                <w:kern w:val="0"/>
                <w:szCs w:val="21"/>
              </w:rPr>
            </w:pPr>
          </w:p>
        </w:tc>
        <w:tc>
          <w:tcPr>
            <w:tcW w:w="2509" w:type="pct"/>
            <w:tcBorders>
              <w:top w:val="nil"/>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N</w:t>
            </w:r>
            <w:r>
              <w:rPr>
                <w:rFonts w:hint="eastAsia" w:ascii="仿宋_GB2312" w:hAnsi="仿宋_GB2312" w:eastAsia="仿宋_GB2312" w:cs="仿宋_GB2312"/>
                <w:color w:val="000000"/>
                <w:kern w:val="0"/>
                <w:szCs w:val="21"/>
              </w:rPr>
              <w:t>ature、Science子刊（影响因子</w:t>
            </w:r>
            <w:r>
              <w:rPr>
                <w:rFonts w:eastAsia="仿宋_GB2312"/>
                <w:color w:val="000000"/>
                <w:kern w:val="0"/>
                <w:szCs w:val="21"/>
              </w:rPr>
              <w:t>≥</w:t>
            </w:r>
            <w:r>
              <w:rPr>
                <w:rFonts w:hint="eastAsia" w:ascii="仿宋_GB2312" w:hAnsi="仿宋_GB2312" w:eastAsia="仿宋_GB2312" w:cs="仿宋_GB2312"/>
                <w:color w:val="000000"/>
                <w:kern w:val="0"/>
                <w:szCs w:val="21"/>
              </w:rPr>
              <w:t>1</w:t>
            </w:r>
            <w:r>
              <w:rPr>
                <w:rFonts w:ascii="仿宋_GB2312" w:hAnsi="仿宋_GB2312" w:eastAsia="仿宋_GB2312" w:cs="仿宋_GB2312"/>
                <w:color w:val="000000"/>
                <w:kern w:val="0"/>
                <w:szCs w:val="21"/>
              </w:rPr>
              <w:t>0）</w:t>
            </w:r>
            <w:r>
              <w:rPr>
                <w:rFonts w:hint="eastAsia" w:ascii="仿宋_GB2312" w:hAnsi="仿宋_GB2312" w:eastAsia="仿宋_GB2312" w:cs="仿宋_GB2312"/>
                <w:color w:val="000000"/>
                <w:kern w:val="0"/>
                <w:szCs w:val="21"/>
              </w:rPr>
              <w:t>，P</w:t>
            </w:r>
            <w:r>
              <w:rPr>
                <w:rFonts w:ascii="仿宋_GB2312" w:hAnsi="仿宋_GB2312" w:eastAsia="仿宋_GB2312" w:cs="仿宋_GB2312"/>
                <w:color w:val="000000"/>
                <w:kern w:val="0"/>
                <w:szCs w:val="21"/>
              </w:rPr>
              <w:t>NAS,NSR</w:t>
            </w:r>
          </w:p>
        </w:tc>
        <w:tc>
          <w:tcPr>
            <w:tcW w:w="1842" w:type="pct"/>
            <w:vMerge w:val="continue"/>
            <w:tcBorders>
              <w:left w:val="nil"/>
              <w:bottom w:val="single" w:color="auto" w:sz="4" w:space="0"/>
              <w:right w:val="single" w:color="auto" w:sz="4" w:space="0"/>
            </w:tcBorders>
            <w:shd w:val="clear" w:color="auto" w:fill="auto"/>
            <w:vAlign w:val="center"/>
          </w:tcPr>
          <w:p>
            <w:pPr>
              <w:widowControl/>
              <w:shd w:val="clear" w:color="auto"/>
              <w:spacing w:before="100" w:beforeAutospacing="1" w:after="100" w:afterAutospacing="1"/>
              <w:ind w:firstLine="420"/>
              <w:jc w:val="center"/>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276" w:hRule="atLeast"/>
          <w:jc w:val="center"/>
        </w:trPr>
        <w:tc>
          <w:tcPr>
            <w:tcW w:w="649" w:type="pct"/>
            <w:tcBorders>
              <w:top w:val="nil"/>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B级</w:t>
            </w:r>
          </w:p>
        </w:tc>
        <w:tc>
          <w:tcPr>
            <w:tcW w:w="2509" w:type="pct"/>
            <w:tcBorders>
              <w:top w:val="nil"/>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SCI（E）一区、三高期刊库T1、NI期刊、卓越期刊（领军、重点）</w:t>
            </w:r>
          </w:p>
        </w:tc>
        <w:tc>
          <w:tcPr>
            <w:tcW w:w="1842" w:type="pct"/>
            <w:tcBorders>
              <w:top w:val="nil"/>
              <w:left w:val="nil"/>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学科最高权威/SSCI一区</w:t>
            </w:r>
          </w:p>
        </w:tc>
      </w:tr>
      <w:tr>
        <w:tblPrEx>
          <w:tblCellMar>
            <w:top w:w="0" w:type="dxa"/>
            <w:left w:w="108" w:type="dxa"/>
            <w:bottom w:w="0" w:type="dxa"/>
            <w:right w:w="108" w:type="dxa"/>
          </w:tblCellMar>
        </w:tblPrEx>
        <w:trPr>
          <w:trHeight w:val="276" w:hRule="atLeast"/>
          <w:jc w:val="center"/>
        </w:trPr>
        <w:tc>
          <w:tcPr>
            <w:tcW w:w="649" w:type="pct"/>
            <w:tcBorders>
              <w:top w:val="nil"/>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C级</w:t>
            </w:r>
          </w:p>
        </w:tc>
        <w:tc>
          <w:tcPr>
            <w:tcW w:w="2509" w:type="pct"/>
            <w:tcBorders>
              <w:top w:val="nil"/>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SCI（E）二区、三高期刊库T2、三高会议库T</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、卓越期刊（梯队）</w:t>
            </w:r>
          </w:p>
        </w:tc>
        <w:tc>
          <w:tcPr>
            <w:tcW w:w="1842" w:type="pct"/>
            <w:tcBorders>
              <w:top w:val="nil"/>
              <w:left w:val="nil"/>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权威/SSCI二区</w:t>
            </w:r>
          </w:p>
        </w:tc>
      </w:tr>
      <w:tr>
        <w:tblPrEx>
          <w:tblCellMar>
            <w:top w:w="0" w:type="dxa"/>
            <w:left w:w="108" w:type="dxa"/>
            <w:bottom w:w="0" w:type="dxa"/>
            <w:right w:w="108" w:type="dxa"/>
          </w:tblCellMar>
        </w:tblPrEx>
        <w:trPr>
          <w:trHeight w:val="276" w:hRule="atLeast"/>
          <w:jc w:val="center"/>
        </w:trPr>
        <w:tc>
          <w:tcPr>
            <w:tcW w:w="649" w:type="pct"/>
            <w:tcBorders>
              <w:top w:val="nil"/>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D级</w:t>
            </w:r>
          </w:p>
        </w:tc>
        <w:tc>
          <w:tcPr>
            <w:tcW w:w="2509" w:type="pct"/>
            <w:tcBorders>
              <w:top w:val="nil"/>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SCI（E）三四区、三高期刊库T3、三高会议库T</w:t>
            </w: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、权威期刊</w:t>
            </w:r>
          </w:p>
        </w:tc>
        <w:tc>
          <w:tcPr>
            <w:tcW w:w="1842" w:type="pct"/>
            <w:tcBorders>
              <w:top w:val="nil"/>
              <w:left w:val="nil"/>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CSSCI/SSCI三四区</w:t>
            </w:r>
          </w:p>
        </w:tc>
      </w:tr>
      <w:tr>
        <w:tblPrEx>
          <w:tblCellMar>
            <w:top w:w="0" w:type="dxa"/>
            <w:left w:w="108" w:type="dxa"/>
            <w:bottom w:w="0" w:type="dxa"/>
            <w:right w:w="108" w:type="dxa"/>
          </w:tblCellMar>
        </w:tblPrEx>
        <w:trPr>
          <w:trHeight w:val="276" w:hRule="atLeast"/>
          <w:jc w:val="center"/>
        </w:trPr>
        <w:tc>
          <w:tcPr>
            <w:tcW w:w="649" w:type="pct"/>
            <w:tcBorders>
              <w:top w:val="nil"/>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E级</w:t>
            </w:r>
          </w:p>
        </w:tc>
        <w:tc>
          <w:tcPr>
            <w:tcW w:w="2509" w:type="pct"/>
            <w:tcBorders>
              <w:top w:val="nil"/>
              <w:left w:val="single" w:color="auto" w:sz="4" w:space="0"/>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核心期刊</w:t>
            </w:r>
          </w:p>
        </w:tc>
        <w:tc>
          <w:tcPr>
            <w:tcW w:w="1842" w:type="pct"/>
            <w:tcBorders>
              <w:top w:val="nil"/>
              <w:left w:val="nil"/>
              <w:bottom w:val="single" w:color="auto" w:sz="4" w:space="0"/>
              <w:right w:val="single" w:color="auto" w:sz="4" w:space="0"/>
            </w:tcBorders>
            <w:shd w:val="clear" w:color="auto" w:fill="auto"/>
            <w:vAlign w:val="center"/>
          </w:tcPr>
          <w:p>
            <w:pPr>
              <w:widowControl/>
              <w:shd w:val="clear" w:color="auto"/>
              <w:spacing w:before="100" w:beforeAutospacing="1" w:after="100" w:afterAutospacing="1"/>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核心期刊</w:t>
            </w:r>
          </w:p>
        </w:tc>
      </w:tr>
    </w:tbl>
    <w:p>
      <w:pPr>
        <w:shd w:val="clear" w:color="auto"/>
        <w:tabs>
          <w:tab w:val="left" w:pos="6915"/>
        </w:tabs>
        <w:adjustRightInd w:val="0"/>
        <w:snapToGrid w:val="0"/>
        <w:jc w:val="left"/>
        <w:rPr>
          <w:rFonts w:ascii="宋体" w:hAnsi="宋体"/>
          <w:sz w:val="20"/>
          <w:szCs w:val="21"/>
        </w:rPr>
      </w:pPr>
      <w:r>
        <w:rPr>
          <w:rFonts w:ascii="宋体" w:hAnsi="宋体"/>
          <w:sz w:val="20"/>
          <w:szCs w:val="21"/>
        </w:rPr>
        <w:t>注</w:t>
      </w:r>
      <w:r>
        <w:rPr>
          <w:rFonts w:hint="eastAsia" w:ascii="宋体" w:hAnsi="宋体"/>
          <w:sz w:val="20"/>
          <w:szCs w:val="21"/>
        </w:rPr>
        <w:t>：</w:t>
      </w:r>
      <w:r>
        <w:rPr>
          <w:rFonts w:ascii="宋体" w:hAnsi="宋体"/>
          <w:sz w:val="20"/>
          <w:szCs w:val="21"/>
        </w:rPr>
        <w:t>该高质量论文分级标准参考校人事及科研管理部门相关文件制定</w:t>
      </w:r>
      <w:r>
        <w:rPr>
          <w:rFonts w:hint="eastAsia" w:ascii="宋体" w:hAnsi="宋体"/>
          <w:sz w:val="20"/>
          <w:szCs w:val="21"/>
        </w:rPr>
        <w:t>。</w:t>
      </w:r>
      <w:r>
        <w:rPr>
          <w:rFonts w:ascii="宋体" w:hAnsi="宋体"/>
          <w:sz w:val="20"/>
          <w:szCs w:val="21"/>
        </w:rPr>
        <w:tab/>
      </w:r>
    </w:p>
    <w:p>
      <w:pPr>
        <w:widowControl/>
        <w:shd w:val="clear" w:color="auto"/>
        <w:spacing w:line="440" w:lineRule="exact"/>
        <w:ind w:firstLine="480" w:firstLineChars="200"/>
        <w:jc w:val="left"/>
        <w:rPr>
          <w:kern w:val="0"/>
          <w:sz w:val="24"/>
        </w:rPr>
      </w:pPr>
      <w:r>
        <w:rPr>
          <w:rFonts w:hint="eastAsia"/>
          <w:kern w:val="0"/>
          <w:sz w:val="24"/>
        </w:rPr>
        <w:t>2</w:t>
      </w:r>
      <w:r>
        <w:rPr>
          <w:kern w:val="0"/>
          <w:sz w:val="24"/>
        </w:rPr>
        <w:t>.</w:t>
      </w:r>
      <w:r>
        <w:rPr>
          <w:rFonts w:hint="eastAsia"/>
          <w:kern w:val="0"/>
          <w:sz w:val="24"/>
        </w:rPr>
        <w:t>科研获奖</w:t>
      </w:r>
    </w:p>
    <w:p>
      <w:pPr>
        <w:widowControl/>
        <w:shd w:val="clear" w:color="auto"/>
        <w:spacing w:line="440" w:lineRule="exact"/>
        <w:ind w:firstLine="480" w:firstLineChars="200"/>
        <w:jc w:val="left"/>
        <w:rPr>
          <w:kern w:val="0"/>
          <w:sz w:val="24"/>
        </w:rPr>
      </w:pPr>
      <w:r>
        <w:rPr>
          <w:rFonts w:hint="eastAsia"/>
          <w:kern w:val="0"/>
          <w:sz w:val="24"/>
        </w:rPr>
        <w:t>获 1 项国家级科研奖励（排名前 10）；</w:t>
      </w:r>
    </w:p>
    <w:p>
      <w:pPr>
        <w:widowControl/>
        <w:shd w:val="clear" w:color="auto"/>
        <w:spacing w:line="440" w:lineRule="exact"/>
        <w:ind w:firstLine="480" w:firstLineChars="200"/>
        <w:jc w:val="left"/>
        <w:rPr>
          <w:kern w:val="0"/>
          <w:sz w:val="24"/>
        </w:rPr>
      </w:pPr>
      <w:r>
        <w:rPr>
          <w:rFonts w:hint="eastAsia"/>
          <w:kern w:val="0"/>
          <w:sz w:val="24"/>
        </w:rPr>
        <w:t>或获 1 项省部级科研奖励（排名前 5）；</w:t>
      </w:r>
    </w:p>
    <w:p>
      <w:pPr>
        <w:widowControl/>
        <w:shd w:val="clear" w:color="auto"/>
        <w:spacing w:line="440" w:lineRule="exact"/>
        <w:ind w:firstLine="480" w:firstLineChars="200"/>
        <w:jc w:val="left"/>
        <w:rPr>
          <w:kern w:val="0"/>
          <w:sz w:val="24"/>
        </w:rPr>
      </w:pPr>
      <w:r>
        <w:rPr>
          <w:rFonts w:hint="eastAsia"/>
          <w:kern w:val="0"/>
          <w:sz w:val="24"/>
        </w:rPr>
        <w:t>或获 1 项市厅级科研奖励（排名前 3）。</w:t>
      </w:r>
    </w:p>
    <w:p>
      <w:pPr>
        <w:widowControl/>
        <w:shd w:val="clear" w:color="auto"/>
        <w:spacing w:line="440" w:lineRule="exact"/>
        <w:ind w:firstLine="480" w:firstLineChars="200"/>
        <w:jc w:val="left"/>
        <w:rPr>
          <w:kern w:val="0"/>
          <w:sz w:val="24"/>
        </w:rPr>
      </w:pPr>
      <w:r>
        <w:rPr>
          <w:rFonts w:hint="eastAsia"/>
          <w:kern w:val="0"/>
          <w:sz w:val="24"/>
        </w:rPr>
        <w:t>3</w:t>
      </w:r>
      <w:r>
        <w:rPr>
          <w:kern w:val="0"/>
          <w:sz w:val="24"/>
        </w:rPr>
        <w:t>.</w:t>
      </w:r>
      <w:r>
        <w:rPr>
          <w:rFonts w:hint="eastAsia"/>
          <w:kern w:val="0"/>
          <w:sz w:val="24"/>
        </w:rPr>
        <w:t>学科竞赛</w:t>
      </w:r>
    </w:p>
    <w:p>
      <w:pPr>
        <w:widowControl/>
        <w:shd w:val="clear" w:color="auto"/>
        <w:spacing w:line="440" w:lineRule="exact"/>
        <w:ind w:firstLine="480" w:firstLineChars="200"/>
        <w:jc w:val="left"/>
        <w:rPr>
          <w:kern w:val="0"/>
          <w:sz w:val="24"/>
        </w:rPr>
      </w:pPr>
      <w:r>
        <w:rPr>
          <w:rFonts w:hint="eastAsia"/>
          <w:kern w:val="0"/>
          <w:sz w:val="24"/>
        </w:rPr>
        <w:t>获1项创新创业竞赛Ⅰ类竞赛中国家级第四等级及以上奖项（排名前 3）；</w:t>
      </w:r>
    </w:p>
    <w:p>
      <w:pPr>
        <w:widowControl/>
        <w:shd w:val="clear" w:color="auto"/>
        <w:spacing w:line="440" w:lineRule="exact"/>
        <w:ind w:firstLine="480" w:firstLineChars="200"/>
        <w:jc w:val="left"/>
        <w:rPr>
          <w:kern w:val="0"/>
          <w:sz w:val="24"/>
        </w:rPr>
      </w:pPr>
      <w:r>
        <w:rPr>
          <w:rFonts w:hint="eastAsia"/>
          <w:kern w:val="0"/>
          <w:sz w:val="24"/>
        </w:rPr>
        <w:t>或获1项创新创业竞赛Ⅱ类竞赛中国家级第一等级奖项（排名前 3）。</w:t>
      </w:r>
    </w:p>
    <w:p>
      <w:pPr>
        <w:widowControl/>
        <w:shd w:val="clear" w:color="auto"/>
        <w:spacing w:line="440" w:lineRule="exact"/>
        <w:ind w:firstLine="480" w:firstLineChars="200"/>
        <w:jc w:val="left"/>
        <w:rPr>
          <w:kern w:val="0"/>
          <w:sz w:val="24"/>
        </w:rPr>
      </w:pPr>
      <w:r>
        <w:rPr>
          <w:rFonts w:hint="eastAsia"/>
          <w:kern w:val="0"/>
          <w:sz w:val="24"/>
        </w:rPr>
        <w:t>4</w:t>
      </w:r>
      <w:r>
        <w:rPr>
          <w:kern w:val="0"/>
          <w:sz w:val="24"/>
        </w:rPr>
        <w:t>.</w:t>
      </w:r>
      <w:r>
        <w:rPr>
          <w:rFonts w:hint="eastAsia"/>
          <w:kern w:val="0"/>
          <w:sz w:val="24"/>
        </w:rPr>
        <w:t>发明专利</w:t>
      </w:r>
    </w:p>
    <w:p>
      <w:pPr>
        <w:widowControl/>
        <w:shd w:val="clear" w:color="auto"/>
        <w:spacing w:line="440" w:lineRule="exact"/>
        <w:ind w:firstLine="480" w:firstLineChars="200"/>
        <w:jc w:val="left"/>
        <w:rPr>
          <w:kern w:val="0"/>
          <w:sz w:val="24"/>
        </w:rPr>
      </w:pPr>
      <w:r>
        <w:rPr>
          <w:rFonts w:hint="eastAsia"/>
          <w:kern w:val="0"/>
          <w:sz w:val="24"/>
        </w:rPr>
        <w:t>以第一完成人获得 1 件发明专利授权；</w:t>
      </w:r>
    </w:p>
    <w:p>
      <w:pPr>
        <w:widowControl/>
        <w:shd w:val="clear" w:color="auto"/>
        <w:spacing w:line="440" w:lineRule="exact"/>
        <w:ind w:firstLine="480" w:firstLineChars="200"/>
        <w:jc w:val="left"/>
        <w:rPr>
          <w:kern w:val="0"/>
          <w:sz w:val="24"/>
        </w:rPr>
      </w:pPr>
      <w:r>
        <w:rPr>
          <w:rFonts w:hint="eastAsia"/>
          <w:kern w:val="0"/>
          <w:sz w:val="24"/>
        </w:rPr>
        <w:t>或第一完成人获得的发明专利实现成果转化，转化效益达4万元以上。</w:t>
      </w:r>
    </w:p>
    <w:p>
      <w:pPr>
        <w:widowControl/>
        <w:shd w:val="clear" w:color="auto"/>
        <w:spacing w:line="440" w:lineRule="exact"/>
        <w:ind w:firstLine="480" w:firstLineChars="200"/>
        <w:jc w:val="left"/>
        <w:rPr>
          <w:kern w:val="0"/>
          <w:sz w:val="24"/>
        </w:rPr>
      </w:pPr>
      <w:r>
        <w:rPr>
          <w:rFonts w:hint="eastAsia"/>
          <w:kern w:val="0"/>
          <w:sz w:val="24"/>
        </w:rPr>
        <w:t>5</w:t>
      </w:r>
      <w:r>
        <w:rPr>
          <w:kern w:val="0"/>
          <w:sz w:val="24"/>
        </w:rPr>
        <w:t>.</w:t>
      </w:r>
      <w:r>
        <w:rPr>
          <w:rFonts w:hint="eastAsia"/>
          <w:kern w:val="0"/>
          <w:sz w:val="24"/>
        </w:rPr>
        <w:t>学术专著及教材编写</w:t>
      </w:r>
    </w:p>
    <w:p>
      <w:pPr>
        <w:widowControl/>
        <w:shd w:val="clear" w:color="auto"/>
        <w:spacing w:line="440" w:lineRule="exact"/>
        <w:ind w:firstLine="480" w:firstLineChars="200"/>
        <w:jc w:val="left"/>
        <w:rPr>
          <w:kern w:val="0"/>
          <w:sz w:val="24"/>
        </w:rPr>
      </w:pPr>
      <w:r>
        <w:rPr>
          <w:rFonts w:hint="eastAsia"/>
          <w:kern w:val="0"/>
          <w:sz w:val="24"/>
        </w:rPr>
        <w:t>以第一或第二作者在重点（权威）出版社出版主编或参编专著（教材）1 部（须在专著或教材上署名）；</w:t>
      </w:r>
    </w:p>
    <w:p>
      <w:pPr>
        <w:widowControl/>
        <w:shd w:val="clear" w:color="auto"/>
        <w:spacing w:line="440" w:lineRule="exact"/>
        <w:ind w:firstLine="480" w:firstLineChars="200"/>
        <w:jc w:val="left"/>
        <w:rPr>
          <w:kern w:val="0"/>
          <w:sz w:val="24"/>
        </w:rPr>
      </w:pPr>
      <w:r>
        <w:rPr>
          <w:rFonts w:hint="eastAsia"/>
          <w:kern w:val="0"/>
          <w:sz w:val="24"/>
        </w:rPr>
        <w:t>或15 万字以上（主编出具书面证明材料并在著作或教材前言中署名）。</w:t>
      </w:r>
    </w:p>
    <w:p>
      <w:pPr>
        <w:widowControl/>
        <w:shd w:val="clear" w:color="auto"/>
        <w:spacing w:line="440" w:lineRule="exact"/>
        <w:ind w:firstLine="480" w:firstLineChars="200"/>
        <w:jc w:val="left"/>
        <w:rPr>
          <w:kern w:val="0"/>
          <w:sz w:val="24"/>
        </w:rPr>
      </w:pPr>
      <w:r>
        <w:rPr>
          <w:rFonts w:hint="eastAsia"/>
          <w:kern w:val="0"/>
          <w:sz w:val="24"/>
        </w:rPr>
        <w:t>6</w:t>
      </w:r>
      <w:r>
        <w:rPr>
          <w:kern w:val="0"/>
          <w:sz w:val="24"/>
        </w:rPr>
        <w:t>.</w:t>
      </w:r>
      <w:r>
        <w:rPr>
          <w:rFonts w:hint="eastAsia"/>
          <w:kern w:val="0"/>
          <w:sz w:val="24"/>
        </w:rPr>
        <w:t>荣誉称号</w:t>
      </w:r>
    </w:p>
    <w:p>
      <w:pPr>
        <w:widowControl/>
        <w:shd w:val="clear" w:color="auto"/>
        <w:spacing w:line="440" w:lineRule="exact"/>
        <w:ind w:firstLine="480" w:firstLineChars="200"/>
        <w:jc w:val="left"/>
        <w:rPr>
          <w:kern w:val="0"/>
          <w:sz w:val="24"/>
        </w:rPr>
      </w:pPr>
      <w:r>
        <w:rPr>
          <w:rFonts w:hint="eastAsia"/>
          <w:kern w:val="0"/>
          <w:sz w:val="24"/>
        </w:rPr>
        <w:t>国家级荣誉称号：中国大学生年度人物、中国大学生年度人物提名奖、中国大学生年度人物入围奖、中国青年五四奖章、中国大学生自强之星、全国优秀共青团员、全国高校“百名研究生党员标兵”。</w:t>
      </w:r>
    </w:p>
    <w:p>
      <w:pPr>
        <w:widowControl/>
        <w:shd w:val="clear" w:color="auto"/>
        <w:spacing w:line="440" w:lineRule="exact"/>
        <w:ind w:firstLine="480" w:firstLineChars="200"/>
        <w:jc w:val="left"/>
        <w:rPr>
          <w:kern w:val="0"/>
          <w:sz w:val="24"/>
        </w:rPr>
      </w:pPr>
      <w:r>
        <w:rPr>
          <w:rFonts w:hint="eastAsia"/>
          <w:kern w:val="0"/>
          <w:sz w:val="24"/>
        </w:rPr>
        <w:t>7</w:t>
      </w:r>
      <w:r>
        <w:rPr>
          <w:kern w:val="0"/>
          <w:sz w:val="24"/>
        </w:rPr>
        <w:t>.</w:t>
      </w:r>
      <w:r>
        <w:rPr>
          <w:rFonts w:hint="eastAsia"/>
          <w:kern w:val="0"/>
          <w:sz w:val="24"/>
        </w:rPr>
        <w:t>智库报告/决策咨询报告编写</w:t>
      </w:r>
    </w:p>
    <w:p>
      <w:pPr>
        <w:widowControl/>
        <w:shd w:val="clear" w:color="auto"/>
        <w:spacing w:line="440" w:lineRule="exact"/>
        <w:ind w:firstLine="480" w:firstLineChars="200"/>
        <w:jc w:val="left"/>
        <w:rPr>
          <w:kern w:val="0"/>
          <w:sz w:val="24"/>
        </w:rPr>
      </w:pPr>
      <w:r>
        <w:rPr>
          <w:rFonts w:hint="eastAsia"/>
          <w:kern w:val="0"/>
          <w:sz w:val="24"/>
        </w:rPr>
        <w:t>以第一作者或导师第一作者、本人第二作者编写的智库报告/决策咨询报告获政府行政机关副省级及以上领导批示。</w:t>
      </w:r>
    </w:p>
    <w:p>
      <w:pPr>
        <w:widowControl/>
        <w:shd w:val="clear" w:color="auto"/>
        <w:spacing w:line="440" w:lineRule="exact"/>
        <w:ind w:firstLine="480" w:firstLineChars="200"/>
        <w:jc w:val="left"/>
        <w:rPr>
          <w:kern w:val="0"/>
          <w:sz w:val="24"/>
        </w:rPr>
      </w:pPr>
      <w:r>
        <w:rPr>
          <w:rFonts w:hint="eastAsia"/>
          <w:kern w:val="0"/>
          <w:sz w:val="24"/>
        </w:rPr>
        <w:t>（三）</w:t>
      </w:r>
      <w:r>
        <w:rPr>
          <w:kern w:val="0"/>
          <w:sz w:val="24"/>
        </w:rPr>
        <w:t>硕士研究生参评国家奖学金成果</w:t>
      </w:r>
      <w:r>
        <w:rPr>
          <w:rFonts w:hint="eastAsia"/>
          <w:kern w:val="0"/>
          <w:sz w:val="24"/>
        </w:rPr>
        <w:t>须以南京信息工程大学为第一署名单位，且成果需满足以下基本条件之一：</w:t>
      </w:r>
    </w:p>
    <w:p>
      <w:pPr>
        <w:widowControl/>
        <w:shd w:val="clear" w:color="auto"/>
        <w:spacing w:line="440" w:lineRule="exact"/>
        <w:ind w:firstLine="480" w:firstLineChars="200"/>
        <w:jc w:val="left"/>
        <w:rPr>
          <w:kern w:val="0"/>
          <w:sz w:val="24"/>
        </w:rPr>
      </w:pPr>
      <w:r>
        <w:rPr>
          <w:rFonts w:hint="eastAsia"/>
          <w:kern w:val="0"/>
          <w:sz w:val="24"/>
        </w:rPr>
        <w:t>1</w:t>
      </w:r>
      <w:r>
        <w:rPr>
          <w:kern w:val="0"/>
          <w:sz w:val="24"/>
        </w:rPr>
        <w:t>.</w:t>
      </w:r>
      <w:r>
        <w:rPr>
          <w:rFonts w:hint="eastAsia"/>
          <w:kern w:val="0"/>
          <w:sz w:val="24"/>
        </w:rPr>
        <w:t>学术论文</w:t>
      </w:r>
    </w:p>
    <w:p>
      <w:pPr>
        <w:widowControl/>
        <w:shd w:val="clear" w:color="auto"/>
        <w:spacing w:line="440" w:lineRule="exact"/>
        <w:ind w:firstLine="480" w:firstLineChars="200"/>
        <w:jc w:val="left"/>
        <w:rPr>
          <w:kern w:val="0"/>
          <w:sz w:val="24"/>
        </w:rPr>
      </w:pPr>
      <w:r>
        <w:rPr>
          <w:rFonts w:hint="eastAsia"/>
          <w:kern w:val="0"/>
          <w:sz w:val="24"/>
        </w:rPr>
        <w:t>发表B级及以上高质量论文1篇（排名前3）；</w:t>
      </w:r>
    </w:p>
    <w:p>
      <w:pPr>
        <w:widowControl/>
        <w:shd w:val="clear" w:color="auto"/>
        <w:spacing w:line="440" w:lineRule="exact"/>
        <w:ind w:firstLine="480" w:firstLineChars="200"/>
        <w:jc w:val="left"/>
        <w:rPr>
          <w:kern w:val="0"/>
          <w:sz w:val="24"/>
        </w:rPr>
      </w:pPr>
      <w:r>
        <w:rPr>
          <w:rFonts w:hint="eastAsia"/>
          <w:kern w:val="0"/>
          <w:sz w:val="24"/>
        </w:rPr>
        <w:t>或以第一作者发表E级及以上高水平论文至少1篇。</w:t>
      </w:r>
    </w:p>
    <w:p>
      <w:pPr>
        <w:widowControl/>
        <w:shd w:val="clear" w:color="auto"/>
        <w:spacing w:line="440" w:lineRule="exact"/>
        <w:ind w:firstLine="480" w:firstLineChars="200"/>
        <w:jc w:val="left"/>
        <w:rPr>
          <w:kern w:val="0"/>
          <w:sz w:val="24"/>
        </w:rPr>
      </w:pPr>
      <w:r>
        <w:rPr>
          <w:rFonts w:hint="eastAsia"/>
          <w:kern w:val="0"/>
          <w:sz w:val="24"/>
        </w:rPr>
        <w:t>2</w:t>
      </w:r>
      <w:r>
        <w:rPr>
          <w:kern w:val="0"/>
          <w:sz w:val="24"/>
        </w:rPr>
        <w:t>.</w:t>
      </w:r>
      <w:r>
        <w:rPr>
          <w:rFonts w:hint="eastAsia"/>
          <w:kern w:val="0"/>
          <w:sz w:val="24"/>
        </w:rPr>
        <w:t>科研获奖</w:t>
      </w:r>
    </w:p>
    <w:p>
      <w:pPr>
        <w:widowControl/>
        <w:shd w:val="clear" w:color="auto"/>
        <w:spacing w:line="440" w:lineRule="exact"/>
        <w:ind w:firstLine="480" w:firstLineChars="200"/>
        <w:jc w:val="left"/>
        <w:rPr>
          <w:kern w:val="0"/>
          <w:sz w:val="24"/>
        </w:rPr>
      </w:pPr>
      <w:r>
        <w:rPr>
          <w:rFonts w:hint="eastAsia"/>
          <w:kern w:val="0"/>
          <w:sz w:val="24"/>
        </w:rPr>
        <w:t>获 1 项国家级科研奖励；</w:t>
      </w:r>
    </w:p>
    <w:p>
      <w:pPr>
        <w:widowControl/>
        <w:shd w:val="clear" w:color="auto"/>
        <w:spacing w:line="440" w:lineRule="exact"/>
        <w:ind w:firstLine="480" w:firstLineChars="200"/>
        <w:jc w:val="left"/>
        <w:rPr>
          <w:kern w:val="0"/>
          <w:sz w:val="24"/>
        </w:rPr>
      </w:pPr>
      <w:r>
        <w:rPr>
          <w:rFonts w:hint="eastAsia"/>
          <w:kern w:val="0"/>
          <w:sz w:val="24"/>
        </w:rPr>
        <w:t>或获 1 项省部级科研奖励（排名前 10）；</w:t>
      </w:r>
    </w:p>
    <w:p>
      <w:pPr>
        <w:widowControl/>
        <w:shd w:val="clear" w:color="auto"/>
        <w:spacing w:line="440" w:lineRule="exact"/>
        <w:ind w:firstLine="480" w:firstLineChars="200"/>
        <w:jc w:val="left"/>
        <w:rPr>
          <w:kern w:val="0"/>
          <w:sz w:val="24"/>
        </w:rPr>
      </w:pPr>
      <w:r>
        <w:rPr>
          <w:rFonts w:hint="eastAsia"/>
          <w:kern w:val="0"/>
          <w:sz w:val="24"/>
        </w:rPr>
        <w:t xml:space="preserve"> </w:t>
      </w:r>
      <w:r>
        <w:rPr>
          <w:kern w:val="0"/>
          <w:sz w:val="24"/>
        </w:rPr>
        <w:t xml:space="preserve"> </w:t>
      </w:r>
      <w:r>
        <w:rPr>
          <w:rFonts w:hint="eastAsia"/>
          <w:kern w:val="0"/>
          <w:sz w:val="24"/>
        </w:rPr>
        <w:t>或获 1 项市厅级科研奖励（排名前 5）。</w:t>
      </w:r>
    </w:p>
    <w:p>
      <w:pPr>
        <w:widowControl/>
        <w:shd w:val="clear" w:color="auto"/>
        <w:spacing w:line="440" w:lineRule="exact"/>
        <w:ind w:firstLine="480" w:firstLineChars="200"/>
        <w:jc w:val="left"/>
        <w:rPr>
          <w:kern w:val="0"/>
          <w:sz w:val="24"/>
        </w:rPr>
      </w:pPr>
      <w:r>
        <w:rPr>
          <w:rFonts w:hint="eastAsia"/>
          <w:kern w:val="0"/>
          <w:sz w:val="24"/>
        </w:rPr>
        <w:t>3</w:t>
      </w:r>
      <w:r>
        <w:rPr>
          <w:kern w:val="0"/>
          <w:sz w:val="24"/>
        </w:rPr>
        <w:t>.</w:t>
      </w:r>
      <w:r>
        <w:rPr>
          <w:rFonts w:hint="eastAsia"/>
          <w:kern w:val="0"/>
          <w:sz w:val="24"/>
        </w:rPr>
        <w:t>学科竞赛</w:t>
      </w:r>
    </w:p>
    <w:p>
      <w:pPr>
        <w:widowControl/>
        <w:shd w:val="clear" w:color="auto"/>
        <w:spacing w:line="440" w:lineRule="exact"/>
        <w:ind w:firstLine="480" w:firstLineChars="200"/>
        <w:jc w:val="left"/>
        <w:rPr>
          <w:kern w:val="0"/>
          <w:sz w:val="24"/>
        </w:rPr>
      </w:pPr>
      <w:r>
        <w:rPr>
          <w:rFonts w:hint="eastAsia"/>
          <w:kern w:val="0"/>
          <w:sz w:val="24"/>
        </w:rPr>
        <w:t>获1项创新创业竞赛Ⅰ类竞赛中国家级第四等级及以上奖项（排名前 3）</w:t>
      </w:r>
    </w:p>
    <w:p>
      <w:pPr>
        <w:widowControl/>
        <w:shd w:val="clear" w:color="auto"/>
        <w:spacing w:line="440" w:lineRule="exact"/>
        <w:ind w:firstLine="480" w:firstLineChars="200"/>
        <w:jc w:val="left"/>
        <w:rPr>
          <w:kern w:val="0"/>
          <w:sz w:val="24"/>
        </w:rPr>
      </w:pPr>
      <w:r>
        <w:rPr>
          <w:rFonts w:hint="eastAsia"/>
          <w:kern w:val="0"/>
          <w:sz w:val="24"/>
        </w:rPr>
        <w:t>或获1项创新创业竞赛Ⅱ类竞赛中国家级第一等级奖项（排名前 3）。</w:t>
      </w:r>
    </w:p>
    <w:p>
      <w:pPr>
        <w:widowControl/>
        <w:shd w:val="clear" w:color="auto"/>
        <w:spacing w:line="440" w:lineRule="exact"/>
        <w:ind w:firstLine="480" w:firstLineChars="200"/>
        <w:jc w:val="left"/>
        <w:rPr>
          <w:kern w:val="0"/>
          <w:sz w:val="24"/>
        </w:rPr>
      </w:pPr>
      <w:r>
        <w:rPr>
          <w:rFonts w:hint="eastAsia"/>
          <w:kern w:val="0"/>
          <w:sz w:val="24"/>
        </w:rPr>
        <w:t>4</w:t>
      </w:r>
      <w:r>
        <w:rPr>
          <w:kern w:val="0"/>
          <w:sz w:val="24"/>
        </w:rPr>
        <w:t>.</w:t>
      </w:r>
      <w:r>
        <w:rPr>
          <w:rFonts w:hint="eastAsia"/>
          <w:kern w:val="0"/>
          <w:sz w:val="24"/>
        </w:rPr>
        <w:t>发明专利</w:t>
      </w:r>
    </w:p>
    <w:p>
      <w:pPr>
        <w:widowControl/>
        <w:shd w:val="clear" w:color="auto"/>
        <w:spacing w:line="440" w:lineRule="exact"/>
        <w:ind w:firstLine="480" w:firstLineChars="200"/>
        <w:jc w:val="left"/>
        <w:rPr>
          <w:kern w:val="0"/>
          <w:sz w:val="24"/>
        </w:rPr>
      </w:pPr>
      <w:r>
        <w:rPr>
          <w:rFonts w:hint="eastAsia"/>
          <w:kern w:val="0"/>
          <w:sz w:val="24"/>
        </w:rPr>
        <w:t>以第一完成人或导师第一完成人、本人第二完成人，获得 1 件发明专利授权；</w:t>
      </w:r>
    </w:p>
    <w:p>
      <w:pPr>
        <w:widowControl/>
        <w:shd w:val="clear" w:color="auto"/>
        <w:spacing w:line="440" w:lineRule="exact"/>
        <w:ind w:firstLine="480" w:firstLineChars="200"/>
        <w:jc w:val="left"/>
        <w:rPr>
          <w:kern w:val="0"/>
          <w:sz w:val="24"/>
        </w:rPr>
      </w:pPr>
      <w:r>
        <w:rPr>
          <w:rFonts w:hint="eastAsia"/>
          <w:kern w:val="0"/>
          <w:sz w:val="24"/>
        </w:rPr>
        <w:t>或第一完成人或导师第一完成人、本人第二完成人获得的发明专利实现成果转化，转化效益达</w:t>
      </w:r>
      <w:r>
        <w:rPr>
          <w:kern w:val="0"/>
          <w:sz w:val="24"/>
        </w:rPr>
        <w:t>2</w:t>
      </w:r>
      <w:r>
        <w:rPr>
          <w:rFonts w:hint="eastAsia"/>
          <w:kern w:val="0"/>
          <w:sz w:val="24"/>
        </w:rPr>
        <w:t>万元以上。</w:t>
      </w:r>
    </w:p>
    <w:p>
      <w:pPr>
        <w:widowControl/>
        <w:shd w:val="clear" w:color="auto"/>
        <w:spacing w:line="440" w:lineRule="exact"/>
        <w:ind w:firstLine="480" w:firstLineChars="200"/>
        <w:jc w:val="left"/>
        <w:rPr>
          <w:kern w:val="0"/>
          <w:sz w:val="24"/>
        </w:rPr>
      </w:pPr>
      <w:r>
        <w:rPr>
          <w:rFonts w:hint="eastAsia"/>
          <w:kern w:val="0"/>
          <w:sz w:val="24"/>
        </w:rPr>
        <w:t>5</w:t>
      </w:r>
      <w:r>
        <w:rPr>
          <w:kern w:val="0"/>
          <w:sz w:val="24"/>
        </w:rPr>
        <w:t>.</w:t>
      </w:r>
      <w:r>
        <w:rPr>
          <w:rFonts w:hint="eastAsia"/>
          <w:kern w:val="0"/>
          <w:sz w:val="24"/>
        </w:rPr>
        <w:t>学术专著及教材编写</w:t>
      </w:r>
    </w:p>
    <w:p>
      <w:pPr>
        <w:widowControl/>
        <w:shd w:val="clear" w:color="auto"/>
        <w:spacing w:line="440" w:lineRule="exact"/>
        <w:ind w:firstLine="480" w:firstLineChars="200"/>
        <w:jc w:val="left"/>
        <w:rPr>
          <w:kern w:val="0"/>
          <w:sz w:val="24"/>
        </w:rPr>
      </w:pPr>
      <w:r>
        <w:rPr>
          <w:rFonts w:hint="eastAsia"/>
          <w:kern w:val="0"/>
          <w:sz w:val="24"/>
        </w:rPr>
        <w:t>在重点（权威）出版社出版主编或参编专著（教材）1 部（排名前 3，且须在专著或教材上署名）；</w:t>
      </w:r>
    </w:p>
    <w:p>
      <w:pPr>
        <w:widowControl/>
        <w:shd w:val="clear" w:color="auto"/>
        <w:spacing w:line="440" w:lineRule="exact"/>
        <w:ind w:firstLine="480" w:firstLineChars="200"/>
        <w:jc w:val="left"/>
        <w:rPr>
          <w:kern w:val="0"/>
          <w:sz w:val="24"/>
        </w:rPr>
      </w:pPr>
      <w:r>
        <w:rPr>
          <w:rFonts w:hint="eastAsia"/>
          <w:kern w:val="0"/>
          <w:sz w:val="24"/>
        </w:rPr>
        <w:t>或15 万字以上（主编出具书面证明材料并在著作或教材前言中署名）。</w:t>
      </w:r>
    </w:p>
    <w:p>
      <w:pPr>
        <w:widowControl/>
        <w:shd w:val="clear" w:color="auto"/>
        <w:spacing w:line="440" w:lineRule="exact"/>
        <w:ind w:firstLine="480" w:firstLineChars="200"/>
        <w:jc w:val="left"/>
        <w:rPr>
          <w:kern w:val="0"/>
          <w:sz w:val="24"/>
        </w:rPr>
      </w:pPr>
      <w:r>
        <w:rPr>
          <w:rFonts w:hint="eastAsia"/>
          <w:kern w:val="0"/>
          <w:sz w:val="24"/>
        </w:rPr>
        <w:t>6</w:t>
      </w:r>
      <w:r>
        <w:rPr>
          <w:kern w:val="0"/>
          <w:sz w:val="24"/>
        </w:rPr>
        <w:t>.</w:t>
      </w:r>
      <w:r>
        <w:rPr>
          <w:rFonts w:hint="eastAsia"/>
          <w:kern w:val="0"/>
          <w:sz w:val="24"/>
        </w:rPr>
        <w:t>荣誉称号</w:t>
      </w:r>
    </w:p>
    <w:p>
      <w:pPr>
        <w:widowControl/>
        <w:shd w:val="clear" w:color="auto"/>
        <w:spacing w:line="440" w:lineRule="exact"/>
        <w:ind w:firstLine="480" w:firstLineChars="200"/>
        <w:jc w:val="left"/>
        <w:rPr>
          <w:kern w:val="0"/>
          <w:sz w:val="24"/>
        </w:rPr>
      </w:pPr>
      <w:r>
        <w:rPr>
          <w:rFonts w:hint="eastAsia"/>
          <w:kern w:val="0"/>
          <w:sz w:val="24"/>
        </w:rPr>
        <w:t>国家级荣誉称号：中国大学生年度人物、中国大学生年度人物提名奖、中国大学生年度人物入围奖、中国青年五四奖章、中国大学生自强之星、全国优秀共青团员、全国高校“百名研究生党员标兵”。</w:t>
      </w:r>
    </w:p>
    <w:p>
      <w:pPr>
        <w:widowControl/>
        <w:shd w:val="clear" w:color="auto"/>
        <w:spacing w:line="440" w:lineRule="exact"/>
        <w:ind w:firstLine="480" w:firstLineChars="200"/>
        <w:jc w:val="left"/>
        <w:rPr>
          <w:kern w:val="0"/>
          <w:sz w:val="24"/>
        </w:rPr>
      </w:pPr>
      <w:r>
        <w:rPr>
          <w:rFonts w:hint="eastAsia"/>
          <w:kern w:val="0"/>
          <w:sz w:val="24"/>
        </w:rPr>
        <w:t>7</w:t>
      </w:r>
      <w:r>
        <w:rPr>
          <w:kern w:val="0"/>
          <w:sz w:val="24"/>
        </w:rPr>
        <w:t>.</w:t>
      </w:r>
      <w:r>
        <w:rPr>
          <w:rFonts w:hint="eastAsia"/>
          <w:kern w:val="0"/>
          <w:sz w:val="24"/>
        </w:rPr>
        <w:t>智库报告/ 决策咨询报告编写</w:t>
      </w:r>
    </w:p>
    <w:p>
      <w:pPr>
        <w:widowControl/>
        <w:shd w:val="clear" w:color="auto"/>
        <w:spacing w:line="440" w:lineRule="exact"/>
        <w:ind w:firstLine="480" w:firstLineChars="200"/>
        <w:jc w:val="left"/>
        <w:rPr>
          <w:kern w:val="0"/>
          <w:sz w:val="24"/>
        </w:rPr>
      </w:pPr>
      <w:r>
        <w:rPr>
          <w:rFonts w:hint="eastAsia"/>
          <w:kern w:val="0"/>
          <w:sz w:val="24"/>
        </w:rPr>
        <w:t>以第一作者或导师第一作者、本人第二作者编写的智库报告/决策咨询报告获政府行政机关地市级及以上领导批示。</w:t>
      </w:r>
    </w:p>
    <w:p>
      <w:pPr>
        <w:widowControl/>
        <w:spacing w:line="440" w:lineRule="exact"/>
        <w:ind w:firstLine="480" w:firstLineChars="200"/>
        <w:jc w:val="left"/>
        <w:rPr>
          <w:kern w:val="0"/>
          <w:sz w:val="24"/>
        </w:rPr>
      </w:pPr>
      <w:r>
        <w:rPr>
          <w:kern w:val="0"/>
          <w:sz w:val="24"/>
        </w:rPr>
        <w:t>（四）学生有下列情况之一的，申请不予受理：</w:t>
      </w:r>
    </w:p>
    <w:p>
      <w:pPr>
        <w:widowControl/>
        <w:spacing w:line="440" w:lineRule="exact"/>
        <w:ind w:firstLine="480" w:firstLineChars="200"/>
        <w:jc w:val="left"/>
        <w:rPr>
          <w:kern w:val="0"/>
          <w:sz w:val="24"/>
        </w:rPr>
      </w:pPr>
      <w:r>
        <w:rPr>
          <w:kern w:val="0"/>
          <w:sz w:val="24"/>
        </w:rPr>
        <w:t>（1）欠缴学费者；</w:t>
      </w:r>
    </w:p>
    <w:p>
      <w:pPr>
        <w:widowControl/>
        <w:spacing w:line="440" w:lineRule="exact"/>
        <w:ind w:firstLine="480" w:firstLineChars="200"/>
        <w:jc w:val="left"/>
        <w:rPr>
          <w:kern w:val="0"/>
          <w:sz w:val="24"/>
        </w:rPr>
      </w:pPr>
      <w:r>
        <w:rPr>
          <w:kern w:val="0"/>
          <w:sz w:val="24"/>
        </w:rPr>
        <w:t>（2）在提交的申请材料中，提供不实信息或者隐瞒不利信息者；</w:t>
      </w:r>
    </w:p>
    <w:p>
      <w:pPr>
        <w:widowControl/>
        <w:spacing w:line="440" w:lineRule="exact"/>
        <w:ind w:firstLine="480" w:firstLineChars="200"/>
        <w:jc w:val="left"/>
        <w:rPr>
          <w:kern w:val="0"/>
          <w:sz w:val="24"/>
        </w:rPr>
      </w:pPr>
      <w:r>
        <w:rPr>
          <w:kern w:val="0"/>
          <w:sz w:val="24"/>
        </w:rPr>
        <w:t>（3）在科学研究工作中,违反工作程序,导致损失或者后果严重者；</w:t>
      </w:r>
    </w:p>
    <w:p>
      <w:pPr>
        <w:widowControl/>
        <w:spacing w:line="440" w:lineRule="exact"/>
        <w:ind w:firstLine="480" w:firstLineChars="200"/>
        <w:jc w:val="left"/>
        <w:rPr>
          <w:kern w:val="0"/>
          <w:sz w:val="24"/>
        </w:rPr>
      </w:pPr>
      <w:r>
        <w:rPr>
          <w:kern w:val="0"/>
          <w:sz w:val="24"/>
        </w:rPr>
        <w:t>（4）上一学年学位课程考试不合格者；</w:t>
      </w:r>
    </w:p>
    <w:p>
      <w:pPr>
        <w:widowControl/>
        <w:spacing w:line="440" w:lineRule="exact"/>
        <w:ind w:firstLine="480" w:firstLineChars="200"/>
        <w:jc w:val="left"/>
        <w:rPr>
          <w:kern w:val="0"/>
          <w:sz w:val="24"/>
        </w:rPr>
      </w:pPr>
      <w:r>
        <w:rPr>
          <w:kern w:val="0"/>
          <w:sz w:val="24"/>
        </w:rPr>
        <w:t>（5）未通过中期考核或者未按时通过学位论文开题者；</w:t>
      </w:r>
    </w:p>
    <w:p>
      <w:pPr>
        <w:widowControl/>
        <w:spacing w:line="440" w:lineRule="exact"/>
        <w:ind w:firstLine="480" w:firstLineChars="200"/>
        <w:jc w:val="left"/>
        <w:rPr>
          <w:kern w:val="0"/>
          <w:sz w:val="24"/>
        </w:rPr>
      </w:pPr>
      <w:r>
        <w:rPr>
          <w:kern w:val="0"/>
          <w:sz w:val="24"/>
        </w:rPr>
        <w:t>（6）休学或保留学籍者；</w:t>
      </w:r>
    </w:p>
    <w:p>
      <w:pPr>
        <w:widowControl/>
        <w:spacing w:line="440" w:lineRule="exact"/>
        <w:ind w:firstLine="480" w:firstLineChars="200"/>
        <w:jc w:val="left"/>
        <w:rPr>
          <w:kern w:val="0"/>
          <w:sz w:val="24"/>
        </w:rPr>
      </w:pPr>
      <w:r>
        <w:rPr>
          <w:kern w:val="0"/>
          <w:sz w:val="24"/>
        </w:rPr>
        <w:t>（7）学术行为失范者；</w:t>
      </w:r>
    </w:p>
    <w:p>
      <w:pPr>
        <w:widowControl/>
        <w:spacing w:line="440" w:lineRule="exact"/>
        <w:ind w:firstLine="480" w:firstLineChars="200"/>
        <w:jc w:val="left"/>
        <w:rPr>
          <w:kern w:val="0"/>
          <w:sz w:val="24"/>
        </w:rPr>
      </w:pPr>
      <w:r>
        <w:rPr>
          <w:kern w:val="0"/>
          <w:sz w:val="24"/>
        </w:rPr>
        <w:t>（8）考试作弊者；</w:t>
      </w:r>
    </w:p>
    <w:p>
      <w:pPr>
        <w:widowControl/>
        <w:spacing w:line="440" w:lineRule="exact"/>
        <w:ind w:firstLine="480" w:firstLineChars="200"/>
        <w:jc w:val="left"/>
        <w:rPr>
          <w:kern w:val="0"/>
          <w:sz w:val="24"/>
        </w:rPr>
      </w:pPr>
      <w:r>
        <w:rPr>
          <w:kern w:val="0"/>
          <w:sz w:val="24"/>
        </w:rPr>
        <w:t>（9）其他违反校规校纪受纪律处分者；</w:t>
      </w:r>
    </w:p>
    <w:p>
      <w:pPr>
        <w:widowControl/>
        <w:spacing w:line="440" w:lineRule="exact"/>
        <w:ind w:firstLine="480" w:firstLineChars="200"/>
        <w:jc w:val="left"/>
        <w:rPr>
          <w:kern w:val="0"/>
          <w:sz w:val="24"/>
        </w:rPr>
      </w:pPr>
      <w:r>
        <w:rPr>
          <w:rFonts w:hint="eastAsia"/>
          <w:kern w:val="0"/>
          <w:sz w:val="24"/>
        </w:rPr>
        <w:t>（</w:t>
      </w:r>
      <w:r>
        <w:rPr>
          <w:kern w:val="0"/>
          <w:sz w:val="24"/>
        </w:rPr>
        <w:t>10</w:t>
      </w:r>
      <w:r>
        <w:rPr>
          <w:rFonts w:hint="eastAsia"/>
          <w:kern w:val="0"/>
          <w:sz w:val="24"/>
        </w:rPr>
        <w:t>）违反《自动化学院实验室使用规定》，情节严重者；</w:t>
      </w:r>
    </w:p>
    <w:p>
      <w:pPr>
        <w:widowControl/>
        <w:spacing w:line="440" w:lineRule="exact"/>
        <w:ind w:firstLine="480" w:firstLineChars="200"/>
        <w:jc w:val="left"/>
        <w:rPr>
          <w:kern w:val="0"/>
          <w:sz w:val="24"/>
        </w:rPr>
      </w:pPr>
      <w:r>
        <w:rPr>
          <w:kern w:val="0"/>
          <w:sz w:val="24"/>
        </w:rPr>
        <w:t>（11）违反国家法律法规并受处罚者。</w:t>
      </w:r>
    </w:p>
    <w:p>
      <w:pPr>
        <w:widowControl/>
        <w:spacing w:line="440" w:lineRule="exact"/>
        <w:ind w:firstLine="482" w:firstLineChars="200"/>
        <w:jc w:val="left"/>
        <w:rPr>
          <w:b/>
          <w:bCs/>
          <w:kern w:val="0"/>
          <w:sz w:val="24"/>
        </w:rPr>
      </w:pPr>
      <w:r>
        <w:rPr>
          <w:rFonts w:hint="eastAsia"/>
          <w:b/>
          <w:bCs/>
          <w:kern w:val="0"/>
          <w:sz w:val="24"/>
        </w:rPr>
        <w:t>四、评定细则</w:t>
      </w:r>
    </w:p>
    <w:p>
      <w:pPr>
        <w:widowControl/>
        <w:shd w:val="clear" w:color="auto"/>
        <w:spacing w:line="360" w:lineRule="auto"/>
        <w:ind w:firstLine="480" w:firstLineChars="200"/>
        <w:jc w:val="left"/>
        <w:rPr>
          <w:kern w:val="0"/>
          <w:sz w:val="24"/>
        </w:rPr>
      </w:pPr>
      <w:r>
        <w:rPr>
          <w:rFonts w:hint="eastAsia"/>
          <w:kern w:val="0"/>
          <w:sz w:val="24"/>
        </w:rPr>
        <w:t>学院成立院研究生国家奖学金评审委员会，评审委员包括院领导、系主任、研究生辅导员、研究生教学秘书、学生代表（</w:t>
      </w:r>
      <w:r>
        <w:rPr>
          <w:rFonts w:hint="eastAsia"/>
          <w:kern w:val="0"/>
          <w:sz w:val="24"/>
          <w:lang w:val="en-US" w:eastAsia="zh-CN"/>
        </w:rPr>
        <w:t>2</w:t>
      </w:r>
      <w:r>
        <w:rPr>
          <w:rFonts w:hint="eastAsia"/>
          <w:kern w:val="0"/>
          <w:sz w:val="24"/>
        </w:rPr>
        <w:t>名，申请人除外）。学院评审按照学校划拨评审指标，根据《自动化学院研究生国家奖学金评审加分细则》（表1）选出学院研究生国家奖学金评选候选人，候选人包括等额与差额名额人选。学院研究生国家奖学金评审委员会根据候选人实际成果综合评审推选出等额推荐与差额选拔的具体名单。</w:t>
      </w:r>
    </w:p>
    <w:p>
      <w:pPr>
        <w:widowControl/>
        <w:shd w:val="clear" w:color="auto"/>
        <w:spacing w:line="360" w:lineRule="auto"/>
        <w:ind w:firstLine="480" w:firstLineChars="200"/>
        <w:jc w:val="left"/>
        <w:rPr>
          <w:kern w:val="0"/>
          <w:sz w:val="24"/>
        </w:rPr>
      </w:pPr>
      <w:r>
        <w:rPr>
          <w:rFonts w:hint="eastAsia"/>
          <w:kern w:val="0"/>
          <w:sz w:val="24"/>
        </w:rPr>
        <w:t>研究生发表B级及以上高质量</w:t>
      </w:r>
      <w:r>
        <w:rPr>
          <w:kern w:val="0"/>
          <w:sz w:val="24"/>
        </w:rPr>
        <w:t>论文</w:t>
      </w:r>
      <w:r>
        <w:rPr>
          <w:rFonts w:hint="eastAsia"/>
          <w:kern w:val="0"/>
          <w:sz w:val="24"/>
        </w:rPr>
        <w:t>1篇（第一作者）</w:t>
      </w:r>
      <w:r>
        <w:rPr>
          <w:kern w:val="0"/>
          <w:sz w:val="24"/>
        </w:rPr>
        <w:t>，</w:t>
      </w:r>
      <w:r>
        <w:rPr>
          <w:rFonts w:hint="eastAsia"/>
          <w:kern w:val="0"/>
          <w:sz w:val="24"/>
        </w:rPr>
        <w:t>或获创新创业竞赛I类竞赛中省级第一等级及以上奖项1项（排名前三，同一项目仅供一名学生使用）</w:t>
      </w:r>
      <w:r>
        <w:rPr>
          <w:rFonts w:hint="eastAsia"/>
          <w:kern w:val="0"/>
          <w:sz w:val="24"/>
          <w:highlight w:val="none"/>
          <w:lang w:eastAsia="zh-CN"/>
        </w:rPr>
        <w:t>且符合国家奖学金申报基本条件</w:t>
      </w:r>
      <w:r>
        <w:rPr>
          <w:kern w:val="0"/>
          <w:sz w:val="24"/>
        </w:rPr>
        <w:t>，</w:t>
      </w:r>
      <w:r>
        <w:rPr>
          <w:rFonts w:hint="eastAsia"/>
          <w:kern w:val="0"/>
          <w:sz w:val="24"/>
        </w:rPr>
        <w:t>或获</w:t>
      </w:r>
      <w:r>
        <w:rPr>
          <w:kern w:val="0"/>
          <w:sz w:val="24"/>
        </w:rPr>
        <w:t>授权国际专利</w:t>
      </w:r>
      <w:r>
        <w:rPr>
          <w:rFonts w:hint="eastAsia"/>
          <w:kern w:val="0"/>
          <w:sz w:val="24"/>
        </w:rPr>
        <w:t>1项（排名第</w:t>
      </w:r>
      <w:r>
        <w:rPr>
          <w:rFonts w:hint="eastAsia"/>
          <w:kern w:val="0"/>
          <w:sz w:val="24"/>
          <w:lang w:eastAsia="zh-CN"/>
        </w:rPr>
        <w:t>一</w:t>
      </w:r>
      <w:r>
        <w:rPr>
          <w:rFonts w:hint="eastAsia"/>
          <w:kern w:val="0"/>
          <w:sz w:val="24"/>
        </w:rPr>
        <w:t>）</w:t>
      </w:r>
      <w:r>
        <w:rPr>
          <w:kern w:val="0"/>
          <w:sz w:val="24"/>
        </w:rPr>
        <w:t>，</w:t>
      </w:r>
      <w:r>
        <w:rPr>
          <w:rFonts w:hint="eastAsia"/>
          <w:kern w:val="0"/>
          <w:sz w:val="24"/>
          <w:lang w:eastAsia="zh-CN"/>
        </w:rPr>
        <w:t>或发表</w:t>
      </w:r>
      <w:r>
        <w:rPr>
          <w:rFonts w:hint="eastAsia"/>
          <w:kern w:val="0"/>
          <w:sz w:val="24"/>
          <w:lang w:val="en-US" w:eastAsia="zh-CN"/>
        </w:rPr>
        <w:t>SCI2区论文1篇（第一作者）且获授权发明专利1项（</w:t>
      </w:r>
      <w:r>
        <w:rPr>
          <w:rFonts w:hint="eastAsia"/>
          <w:kern w:val="0"/>
          <w:sz w:val="24"/>
        </w:rPr>
        <w:t>排名第</w:t>
      </w:r>
      <w:r>
        <w:rPr>
          <w:rFonts w:hint="eastAsia"/>
          <w:kern w:val="0"/>
          <w:sz w:val="24"/>
          <w:lang w:eastAsia="zh-CN"/>
        </w:rPr>
        <w:t>一</w:t>
      </w:r>
      <w:r>
        <w:rPr>
          <w:rFonts w:hint="eastAsia"/>
          <w:kern w:val="0"/>
          <w:sz w:val="24"/>
          <w:lang w:val="en-US" w:eastAsia="zh-CN"/>
        </w:rPr>
        <w:t>），</w:t>
      </w:r>
      <w:r>
        <w:rPr>
          <w:rFonts w:hint="eastAsia"/>
          <w:kern w:val="0"/>
          <w:sz w:val="24"/>
        </w:rPr>
        <w:t>或获国家级荣誉称号可</w:t>
      </w:r>
      <w:r>
        <w:rPr>
          <w:kern w:val="0"/>
          <w:sz w:val="24"/>
        </w:rPr>
        <w:t>直接</w:t>
      </w:r>
      <w:r>
        <w:rPr>
          <w:rFonts w:hint="eastAsia"/>
          <w:kern w:val="0"/>
          <w:sz w:val="24"/>
        </w:rPr>
        <w:t>成为当年学院研究生国家奖学金评选侯选人</w:t>
      </w:r>
      <w:r>
        <w:rPr>
          <w:kern w:val="0"/>
          <w:sz w:val="24"/>
        </w:rPr>
        <w:t>。</w:t>
      </w:r>
    </w:p>
    <w:p>
      <w:pPr>
        <w:widowControl/>
        <w:shd w:val="clear" w:color="auto"/>
        <w:spacing w:line="360" w:lineRule="auto"/>
        <w:ind w:firstLine="480" w:firstLineChars="200"/>
        <w:jc w:val="left"/>
        <w:rPr>
          <w:kern w:val="0"/>
          <w:sz w:val="24"/>
        </w:rPr>
      </w:pPr>
      <w:r>
        <w:rPr>
          <w:rFonts w:hint="eastAsia"/>
          <w:kern w:val="0"/>
          <w:sz w:val="24"/>
        </w:rPr>
        <w:t>学院评审候选人按照研究生阶段德育成效与科研成果的积分进行排序评定，成果的时间要求参照当年研究生工作部的相关要求。在当前学习阶段，曾获得过研究生国家奖学金的学生再次申请时曾使用过的科研成果不再重复加分，具体加分细则见表1。</w:t>
      </w:r>
    </w:p>
    <w:p>
      <w:pPr>
        <w:widowControl/>
        <w:shd w:val="clear" w:color="auto"/>
        <w:spacing w:line="360" w:lineRule="auto"/>
        <w:ind w:firstLine="480" w:firstLineChars="200"/>
        <w:jc w:val="left"/>
        <w:rPr>
          <w:kern w:val="0"/>
          <w:sz w:val="24"/>
        </w:rPr>
      </w:pPr>
    </w:p>
    <w:p>
      <w:pPr>
        <w:widowControl/>
        <w:shd w:val="clear"/>
        <w:spacing w:line="360" w:lineRule="auto"/>
        <w:ind w:firstLine="480" w:firstLineChars="200"/>
        <w:jc w:val="left"/>
        <w:rPr>
          <w:kern w:val="0"/>
          <w:sz w:val="24"/>
        </w:rPr>
      </w:pPr>
    </w:p>
    <w:p>
      <w:pPr>
        <w:widowControl/>
        <w:shd w:val="clear"/>
        <w:spacing w:line="360" w:lineRule="auto"/>
        <w:ind w:firstLine="480" w:firstLineChars="200"/>
        <w:jc w:val="left"/>
        <w:rPr>
          <w:kern w:val="0"/>
          <w:sz w:val="24"/>
        </w:rPr>
      </w:pPr>
    </w:p>
    <w:p>
      <w:pPr>
        <w:widowControl/>
        <w:shd w:val="clear"/>
        <w:spacing w:line="360" w:lineRule="auto"/>
        <w:jc w:val="left"/>
        <w:rPr>
          <w:kern w:val="0"/>
          <w:sz w:val="24"/>
        </w:rPr>
      </w:pPr>
    </w:p>
    <w:p>
      <w:pPr>
        <w:widowControl/>
        <w:shd w:val="clear"/>
        <w:spacing w:line="360" w:lineRule="auto"/>
        <w:jc w:val="left"/>
        <w:rPr>
          <w:kern w:val="0"/>
          <w:sz w:val="24"/>
        </w:rPr>
      </w:pPr>
    </w:p>
    <w:p>
      <w:pPr>
        <w:widowControl/>
        <w:shd w:val="clear"/>
        <w:spacing w:line="440" w:lineRule="exact"/>
        <w:jc w:val="center"/>
        <w:rPr>
          <w:kern w:val="0"/>
          <w:sz w:val="24"/>
        </w:rPr>
      </w:pPr>
      <w:r>
        <w:rPr>
          <w:rFonts w:hint="eastAsia"/>
          <w:kern w:val="0"/>
          <w:sz w:val="24"/>
        </w:rPr>
        <w:t>表1 ：自动化学院研究生国家奖学金评审加分细则</w:t>
      </w:r>
    </w:p>
    <w:tbl>
      <w:tblPr>
        <w:tblStyle w:val="8"/>
        <w:tblW w:w="11400" w:type="dxa"/>
        <w:tblInd w:w="-1462" w:type="dxa"/>
        <w:tblLayout w:type="fixed"/>
        <w:tblCellMar>
          <w:top w:w="0" w:type="dxa"/>
          <w:left w:w="108" w:type="dxa"/>
          <w:bottom w:w="0" w:type="dxa"/>
          <w:right w:w="108" w:type="dxa"/>
        </w:tblCellMar>
      </w:tblPr>
      <w:tblGrid>
        <w:gridCol w:w="656"/>
        <w:gridCol w:w="1613"/>
        <w:gridCol w:w="544"/>
        <w:gridCol w:w="496"/>
        <w:gridCol w:w="582"/>
        <w:gridCol w:w="534"/>
        <w:gridCol w:w="6975"/>
      </w:tblGrid>
      <w:tr>
        <w:tblPrEx>
          <w:tblCellMar>
            <w:top w:w="0" w:type="dxa"/>
            <w:left w:w="108" w:type="dxa"/>
            <w:bottom w:w="0" w:type="dxa"/>
            <w:right w:w="108" w:type="dxa"/>
          </w:tblCellMar>
        </w:tblPrEx>
        <w:trPr>
          <w:trHeight w:val="318"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类别</w:t>
            </w:r>
          </w:p>
        </w:tc>
        <w:tc>
          <w:tcPr>
            <w:tcW w:w="1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级 别</w:t>
            </w:r>
          </w:p>
        </w:tc>
        <w:tc>
          <w:tcPr>
            <w:tcW w:w="54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hd w:val="clear"/>
              <w:spacing w:line="360" w:lineRule="auto"/>
              <w:jc w:val="center"/>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单位分值</w:t>
            </w:r>
          </w:p>
        </w:tc>
        <w:tc>
          <w:tcPr>
            <w:tcW w:w="1612" w:type="dxa"/>
            <w:gridSpan w:val="3"/>
            <w:tcBorders>
              <w:top w:val="single" w:color="auto" w:sz="4" w:space="0"/>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权系数</w:t>
            </w:r>
          </w:p>
        </w:tc>
        <w:tc>
          <w:tcPr>
            <w:tcW w:w="6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说    明</w:t>
            </w:r>
          </w:p>
        </w:tc>
      </w:tr>
      <w:tr>
        <w:tblPrEx>
          <w:tblCellMar>
            <w:top w:w="0" w:type="dxa"/>
            <w:left w:w="108" w:type="dxa"/>
            <w:bottom w:w="0" w:type="dxa"/>
            <w:right w:w="108" w:type="dxa"/>
          </w:tblCellMar>
        </w:tblPrEx>
        <w:trPr>
          <w:trHeight w:val="465"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left"/>
              <w:rPr>
                <w:rFonts w:asciiTheme="minorEastAsia" w:hAnsiTheme="minorEastAsia" w:eastAsiaTheme="minorEastAsia" w:cstheme="minorEastAsia"/>
                <w:b/>
                <w:bCs/>
                <w:color w:val="000000" w:themeColor="text1"/>
                <w:kern w:val="0"/>
                <w:sz w:val="24"/>
              </w:rPr>
            </w:pPr>
          </w:p>
        </w:tc>
        <w:tc>
          <w:tcPr>
            <w:tcW w:w="161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left"/>
              <w:rPr>
                <w:rFonts w:asciiTheme="minorEastAsia" w:hAnsiTheme="minorEastAsia" w:eastAsiaTheme="minorEastAsia" w:cstheme="minorEastAsia"/>
                <w:b/>
                <w:bCs/>
                <w:color w:val="000000" w:themeColor="text1"/>
                <w:kern w:val="0"/>
                <w:sz w:val="24"/>
              </w:rPr>
            </w:pPr>
          </w:p>
        </w:tc>
        <w:tc>
          <w:tcPr>
            <w:tcW w:w="544" w:type="dxa"/>
            <w:vMerge w:val="continue"/>
            <w:tcBorders>
              <w:top w:val="single" w:color="auto" w:sz="4" w:space="0"/>
              <w:left w:val="single" w:color="auto" w:sz="4" w:space="0"/>
              <w:bottom w:val="single" w:color="000000" w:sz="4" w:space="0"/>
              <w:right w:val="single" w:color="auto" w:sz="4" w:space="0"/>
            </w:tcBorders>
            <w:vAlign w:val="center"/>
          </w:tcPr>
          <w:p>
            <w:pPr>
              <w:widowControl/>
              <w:shd w:val="clear"/>
              <w:spacing w:line="360" w:lineRule="auto"/>
              <w:jc w:val="left"/>
              <w:rPr>
                <w:rFonts w:asciiTheme="minorEastAsia" w:hAnsiTheme="minorEastAsia" w:eastAsiaTheme="minorEastAsia" w:cstheme="minorEastAsia"/>
                <w:b/>
                <w:bCs/>
                <w:color w:val="000000" w:themeColor="text1"/>
                <w:kern w:val="0"/>
                <w:sz w:val="24"/>
              </w:rPr>
            </w:pPr>
          </w:p>
        </w:tc>
        <w:tc>
          <w:tcPr>
            <w:tcW w:w="496" w:type="dxa"/>
            <w:tcBorders>
              <w:top w:val="nil"/>
              <w:left w:val="nil"/>
              <w:bottom w:val="single" w:color="auto" w:sz="4" w:space="0"/>
              <w:right w:val="single" w:color="auto" w:sz="4" w:space="0"/>
            </w:tcBorders>
            <w:shd w:val="clear" w:color="auto" w:fill="auto"/>
            <w:vAlign w:val="center"/>
          </w:tcPr>
          <w:p>
            <w:pPr>
              <w:widowControl/>
              <w:shd w:val="clear"/>
              <w:jc w:val="center"/>
              <w:rPr>
                <w:rFonts w:ascii="仿宋" w:hAnsi="仿宋" w:eastAsia="仿宋" w:cs="仿宋"/>
                <w:b/>
                <w:bCs/>
                <w:color w:val="000000" w:themeColor="text1"/>
                <w:kern w:val="0"/>
                <w:sz w:val="18"/>
                <w:szCs w:val="18"/>
              </w:rPr>
            </w:pPr>
            <w:r>
              <w:rPr>
                <w:rFonts w:hint="eastAsia" w:ascii="仿宋" w:hAnsi="仿宋" w:eastAsia="仿宋" w:cs="仿宋"/>
                <w:b/>
                <w:bCs/>
                <w:color w:val="000000" w:themeColor="text1"/>
                <w:kern w:val="0"/>
                <w:sz w:val="18"/>
                <w:szCs w:val="18"/>
              </w:rPr>
              <w:t>第一</w:t>
            </w:r>
          </w:p>
        </w:tc>
        <w:tc>
          <w:tcPr>
            <w:tcW w:w="582" w:type="dxa"/>
            <w:tcBorders>
              <w:top w:val="nil"/>
              <w:left w:val="nil"/>
              <w:bottom w:val="single" w:color="auto" w:sz="4" w:space="0"/>
              <w:right w:val="single" w:color="auto" w:sz="4" w:space="0"/>
            </w:tcBorders>
            <w:shd w:val="clear" w:color="auto" w:fill="auto"/>
            <w:vAlign w:val="center"/>
          </w:tcPr>
          <w:p>
            <w:pPr>
              <w:widowControl/>
              <w:shd w:val="clear"/>
              <w:jc w:val="center"/>
              <w:rPr>
                <w:rFonts w:ascii="仿宋" w:hAnsi="仿宋" w:eastAsia="仿宋" w:cs="仿宋"/>
                <w:b/>
                <w:bCs/>
                <w:color w:val="000000" w:themeColor="text1"/>
                <w:kern w:val="0"/>
                <w:sz w:val="18"/>
                <w:szCs w:val="18"/>
              </w:rPr>
            </w:pPr>
            <w:r>
              <w:rPr>
                <w:rFonts w:hint="eastAsia" w:ascii="仿宋" w:hAnsi="仿宋" w:eastAsia="仿宋" w:cs="仿宋"/>
                <w:b/>
                <w:bCs/>
                <w:color w:val="000000" w:themeColor="text1"/>
                <w:kern w:val="0"/>
                <w:sz w:val="18"/>
                <w:szCs w:val="18"/>
              </w:rPr>
              <w:t>第二</w:t>
            </w:r>
          </w:p>
        </w:tc>
        <w:tc>
          <w:tcPr>
            <w:tcW w:w="534" w:type="dxa"/>
            <w:tcBorders>
              <w:top w:val="nil"/>
              <w:left w:val="nil"/>
              <w:bottom w:val="single" w:color="auto" w:sz="4" w:space="0"/>
              <w:right w:val="single" w:color="auto" w:sz="4" w:space="0"/>
            </w:tcBorders>
            <w:shd w:val="clear" w:color="auto" w:fill="auto"/>
            <w:vAlign w:val="center"/>
          </w:tcPr>
          <w:p>
            <w:pPr>
              <w:widowControl/>
              <w:shd w:val="clear"/>
              <w:jc w:val="center"/>
              <w:rPr>
                <w:rFonts w:ascii="仿宋" w:hAnsi="仿宋" w:eastAsia="仿宋" w:cs="仿宋"/>
                <w:b/>
                <w:bCs/>
                <w:color w:val="000000" w:themeColor="text1"/>
                <w:kern w:val="0"/>
                <w:sz w:val="18"/>
                <w:szCs w:val="18"/>
              </w:rPr>
            </w:pPr>
            <w:r>
              <w:rPr>
                <w:rFonts w:hint="eastAsia" w:ascii="仿宋" w:hAnsi="仿宋" w:eastAsia="仿宋" w:cs="仿宋"/>
                <w:b/>
                <w:bCs/>
                <w:color w:val="000000" w:themeColor="text1"/>
                <w:kern w:val="0"/>
                <w:sz w:val="18"/>
                <w:szCs w:val="18"/>
              </w:rPr>
              <w:t>第三</w:t>
            </w:r>
          </w:p>
        </w:tc>
        <w:tc>
          <w:tcPr>
            <w:tcW w:w="697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left"/>
              <w:rPr>
                <w:rFonts w:asciiTheme="minorEastAsia" w:hAnsiTheme="minorEastAsia" w:eastAsiaTheme="minorEastAsia" w:cstheme="minorEastAsia"/>
                <w:b/>
                <w:bCs/>
                <w:color w:val="000000" w:themeColor="text1"/>
                <w:kern w:val="0"/>
                <w:sz w:val="24"/>
              </w:rPr>
            </w:pPr>
          </w:p>
        </w:tc>
      </w:tr>
      <w:tr>
        <w:tblPrEx>
          <w:tblCellMar>
            <w:top w:w="0" w:type="dxa"/>
            <w:left w:w="108" w:type="dxa"/>
            <w:bottom w:w="0" w:type="dxa"/>
            <w:right w:w="108" w:type="dxa"/>
          </w:tblCellMar>
        </w:tblPrEx>
        <w:trPr>
          <w:trHeight w:val="880" w:hRule="atLeast"/>
        </w:trPr>
        <w:tc>
          <w:tcPr>
            <w:tcW w:w="656" w:type="dxa"/>
            <w:vMerge w:val="restart"/>
            <w:tcBorders>
              <w:top w:val="nil"/>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r>
              <w:rPr>
                <w:rFonts w:hint="eastAsia" w:ascii="仿宋" w:hAnsi="仿宋" w:eastAsia="仿宋" w:cs="仿宋"/>
                <w:b/>
                <w:bCs/>
                <w:color w:val="000000" w:themeColor="text1"/>
                <w:kern w:val="0"/>
                <w:szCs w:val="21"/>
              </w:rPr>
              <w:t>荣誉称号</w:t>
            </w:r>
          </w:p>
        </w:tc>
        <w:tc>
          <w:tcPr>
            <w:tcW w:w="1613"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国家级</w:t>
            </w:r>
          </w:p>
        </w:tc>
        <w:tc>
          <w:tcPr>
            <w:tcW w:w="54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w:t>
            </w:r>
          </w:p>
        </w:tc>
        <w:tc>
          <w:tcPr>
            <w:tcW w:w="496"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w:t>
            </w:r>
          </w:p>
        </w:tc>
        <w:tc>
          <w:tcPr>
            <w:tcW w:w="582"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w:t>
            </w:r>
          </w:p>
        </w:tc>
        <w:tc>
          <w:tcPr>
            <w:tcW w:w="53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w:t>
            </w:r>
          </w:p>
        </w:tc>
        <w:tc>
          <w:tcPr>
            <w:tcW w:w="6975" w:type="dxa"/>
            <w:tcBorders>
              <w:top w:val="nil"/>
              <w:left w:val="nil"/>
              <w:bottom w:val="single" w:color="auto" w:sz="4" w:space="0"/>
              <w:right w:val="single" w:color="auto" w:sz="4" w:space="0"/>
            </w:tcBorders>
            <w:shd w:val="clear" w:color="auto" w:fill="auto"/>
            <w:vAlign w:val="center"/>
          </w:tcPr>
          <w:p>
            <w:pPr>
              <w:widowControl/>
              <w:shd w:val="clear"/>
              <w:jc w:val="left"/>
              <w:rPr>
                <w:rFonts w:ascii="仿宋" w:hAnsi="仿宋" w:eastAsia="仿宋" w:cs="仿宋"/>
                <w:color w:val="000000" w:themeColor="text1"/>
                <w:kern w:val="0"/>
                <w:sz w:val="15"/>
                <w:szCs w:val="15"/>
              </w:rPr>
            </w:pPr>
            <w:r>
              <w:rPr>
                <w:rFonts w:hint="eastAsia" w:ascii="仿宋" w:hAnsi="仿宋" w:eastAsia="仿宋" w:cs="仿宋"/>
                <w:b/>
                <w:bCs/>
                <w:color w:val="000000" w:themeColor="text1"/>
                <w:kern w:val="0"/>
                <w:sz w:val="15"/>
                <w:szCs w:val="15"/>
              </w:rPr>
              <w:t>直接列为学院国奖评审候选人。</w:t>
            </w:r>
            <w:r>
              <w:rPr>
                <w:rFonts w:hint="eastAsia" w:ascii="仿宋" w:hAnsi="仿宋" w:eastAsia="仿宋" w:cs="仿宋"/>
                <w:color w:val="000000" w:themeColor="text1"/>
                <w:kern w:val="0"/>
                <w:sz w:val="15"/>
                <w:szCs w:val="15"/>
              </w:rPr>
              <w:t>包括：中国大学生年度人物、中国大学生年度人物提名奖、中国大学生年度人物入围奖、中国青年五四奖章、中国大学生自强之星、全国优秀共青团员、全国高校“百名研究生党员标兵”。</w:t>
            </w:r>
          </w:p>
        </w:tc>
      </w:tr>
      <w:tr>
        <w:tblPrEx>
          <w:tblCellMar>
            <w:top w:w="0" w:type="dxa"/>
            <w:left w:w="108" w:type="dxa"/>
            <w:bottom w:w="0" w:type="dxa"/>
            <w:right w:w="108" w:type="dxa"/>
          </w:tblCellMar>
        </w:tblPrEx>
        <w:trPr>
          <w:trHeight w:val="656"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省级</w:t>
            </w:r>
          </w:p>
        </w:tc>
        <w:tc>
          <w:tcPr>
            <w:tcW w:w="54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12</w:t>
            </w:r>
          </w:p>
        </w:tc>
        <w:tc>
          <w:tcPr>
            <w:tcW w:w="496"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w:t>
            </w:r>
          </w:p>
        </w:tc>
        <w:tc>
          <w:tcPr>
            <w:tcW w:w="582"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w:t>
            </w:r>
          </w:p>
        </w:tc>
        <w:tc>
          <w:tcPr>
            <w:tcW w:w="53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w:t>
            </w:r>
          </w:p>
        </w:tc>
        <w:tc>
          <w:tcPr>
            <w:tcW w:w="6975" w:type="dxa"/>
            <w:tcBorders>
              <w:top w:val="nil"/>
              <w:left w:val="nil"/>
              <w:bottom w:val="single" w:color="auto" w:sz="4" w:space="0"/>
              <w:right w:val="single" w:color="auto" w:sz="4" w:space="0"/>
            </w:tcBorders>
            <w:shd w:val="clear" w:color="auto" w:fill="auto"/>
            <w:vAlign w:val="center"/>
          </w:tcPr>
          <w:p>
            <w:pPr>
              <w:widowControl/>
              <w:shd w:val="clear"/>
              <w:jc w:val="left"/>
              <w:rPr>
                <w:rFonts w:ascii="仿宋" w:hAnsi="仿宋" w:eastAsia="仿宋" w:cs="仿宋"/>
                <w:color w:val="000000" w:themeColor="text1"/>
                <w:kern w:val="0"/>
                <w:sz w:val="15"/>
                <w:szCs w:val="15"/>
              </w:rPr>
            </w:pPr>
            <w:r>
              <w:rPr>
                <w:rFonts w:hint="eastAsia" w:ascii="仿宋" w:hAnsi="仿宋" w:eastAsia="仿宋" w:cs="仿宋"/>
                <w:color w:val="000000" w:themeColor="text1"/>
                <w:kern w:val="0"/>
                <w:sz w:val="15"/>
                <w:szCs w:val="15"/>
              </w:rPr>
              <w:t>省级优秀共青团员、优秀共青团干部、青年五四标兵、青年五四奖章等，省级三好研究生、三好研究生干部，以及其他省级荣誉表彰。</w:t>
            </w:r>
          </w:p>
        </w:tc>
      </w:tr>
      <w:tr>
        <w:tblPrEx>
          <w:tblCellMar>
            <w:top w:w="0" w:type="dxa"/>
            <w:left w:w="108" w:type="dxa"/>
            <w:bottom w:w="0" w:type="dxa"/>
            <w:right w:w="108" w:type="dxa"/>
          </w:tblCellMar>
        </w:tblPrEx>
        <w:trPr>
          <w:trHeight w:val="412"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市区级</w:t>
            </w:r>
          </w:p>
        </w:tc>
        <w:tc>
          <w:tcPr>
            <w:tcW w:w="54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w:t>
            </w:r>
          </w:p>
        </w:tc>
        <w:tc>
          <w:tcPr>
            <w:tcW w:w="496"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w:t>
            </w:r>
          </w:p>
        </w:tc>
        <w:tc>
          <w:tcPr>
            <w:tcW w:w="582"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w:t>
            </w:r>
          </w:p>
        </w:tc>
        <w:tc>
          <w:tcPr>
            <w:tcW w:w="53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w:t>
            </w:r>
          </w:p>
        </w:tc>
        <w:tc>
          <w:tcPr>
            <w:tcW w:w="6975" w:type="dxa"/>
            <w:tcBorders>
              <w:top w:val="nil"/>
              <w:left w:val="nil"/>
              <w:bottom w:val="single" w:color="auto" w:sz="4" w:space="0"/>
              <w:right w:val="single" w:color="auto" w:sz="4" w:space="0"/>
            </w:tcBorders>
            <w:shd w:val="clear" w:color="auto" w:fill="auto"/>
            <w:vAlign w:val="center"/>
          </w:tcPr>
          <w:p>
            <w:pPr>
              <w:widowControl/>
              <w:shd w:val="clear"/>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 w:val="15"/>
                <w:szCs w:val="15"/>
              </w:rPr>
              <w:t>市区级荣誉表彰。</w:t>
            </w:r>
          </w:p>
        </w:tc>
      </w:tr>
      <w:tr>
        <w:tblPrEx>
          <w:tblCellMar>
            <w:top w:w="0" w:type="dxa"/>
            <w:left w:w="108" w:type="dxa"/>
            <w:bottom w:w="0" w:type="dxa"/>
            <w:right w:w="108" w:type="dxa"/>
          </w:tblCellMar>
        </w:tblPrEx>
        <w:trPr>
          <w:trHeight w:val="384" w:hRule="atLeast"/>
        </w:trPr>
        <w:tc>
          <w:tcPr>
            <w:tcW w:w="656" w:type="dxa"/>
            <w:vMerge w:val="restart"/>
            <w:tcBorders>
              <w:top w:val="nil"/>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r>
              <w:rPr>
                <w:rFonts w:hint="eastAsia" w:ascii="仿宋" w:hAnsi="仿宋" w:eastAsia="仿宋" w:cs="仿宋"/>
                <w:b/>
                <w:bCs/>
                <w:color w:val="000000" w:themeColor="text1"/>
                <w:kern w:val="0"/>
                <w:szCs w:val="21"/>
              </w:rPr>
              <w:t>学术论文</w:t>
            </w:r>
          </w:p>
        </w:tc>
        <w:tc>
          <w:tcPr>
            <w:tcW w:w="1613"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 xml:space="preserve">A级 </w:t>
            </w:r>
          </w:p>
        </w:tc>
        <w:tc>
          <w:tcPr>
            <w:tcW w:w="54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300</w:t>
            </w:r>
          </w:p>
        </w:tc>
        <w:tc>
          <w:tcPr>
            <w:tcW w:w="496"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w:t>
            </w:r>
          </w:p>
        </w:tc>
        <w:tc>
          <w:tcPr>
            <w:tcW w:w="582"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0.8</w:t>
            </w:r>
          </w:p>
        </w:tc>
        <w:tc>
          <w:tcPr>
            <w:tcW w:w="53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0.6</w:t>
            </w:r>
          </w:p>
        </w:tc>
        <w:tc>
          <w:tcPr>
            <w:tcW w:w="6975" w:type="dxa"/>
            <w:tcBorders>
              <w:top w:val="nil"/>
              <w:left w:val="nil"/>
              <w:bottom w:val="single" w:color="auto" w:sz="4" w:space="0"/>
              <w:right w:val="single" w:color="auto" w:sz="4" w:space="0"/>
            </w:tcBorders>
            <w:shd w:val="clear" w:color="auto" w:fill="auto"/>
            <w:vAlign w:val="center"/>
          </w:tcPr>
          <w:p>
            <w:pPr>
              <w:widowControl/>
              <w:shd w:val="clear"/>
              <w:jc w:val="left"/>
              <w:rPr>
                <w:rFonts w:ascii="仿宋" w:hAnsi="仿宋" w:eastAsia="仿宋" w:cs="仿宋"/>
                <w:color w:val="000000" w:themeColor="text1"/>
                <w:kern w:val="0"/>
                <w:sz w:val="15"/>
                <w:szCs w:val="15"/>
              </w:rPr>
            </w:pPr>
            <w:r>
              <w:rPr>
                <w:rFonts w:hint="eastAsia" w:ascii="仿宋" w:hAnsi="仿宋" w:eastAsia="仿宋" w:cs="仿宋"/>
                <w:color w:val="000000" w:themeColor="text1"/>
                <w:kern w:val="0"/>
                <w:sz w:val="15"/>
                <w:szCs w:val="15"/>
              </w:rPr>
              <w:t>包括：三高期刊库特级期刊；Nature、Science子刊（影响因子≥10），PNAS,NSR。（成果须以我校为第一署名单位；学术期刊的增刊、特刊、专刊和论文集中的学术论文不计，被SCI、SCIE、EI核心版、ISTP收录的除外；英文online视同见刊，中文要见刊。下同。）</w:t>
            </w:r>
          </w:p>
        </w:tc>
      </w:tr>
      <w:tr>
        <w:tblPrEx>
          <w:tblCellMar>
            <w:top w:w="0" w:type="dxa"/>
            <w:left w:w="108" w:type="dxa"/>
            <w:bottom w:w="0" w:type="dxa"/>
            <w:right w:w="108" w:type="dxa"/>
          </w:tblCellMar>
        </w:tblPrEx>
        <w:trPr>
          <w:trHeight w:val="460"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B级</w:t>
            </w:r>
          </w:p>
        </w:tc>
        <w:tc>
          <w:tcPr>
            <w:tcW w:w="54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50</w:t>
            </w:r>
          </w:p>
        </w:tc>
        <w:tc>
          <w:tcPr>
            <w:tcW w:w="496"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w:t>
            </w:r>
          </w:p>
        </w:tc>
        <w:tc>
          <w:tcPr>
            <w:tcW w:w="582"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0.8</w:t>
            </w:r>
          </w:p>
        </w:tc>
        <w:tc>
          <w:tcPr>
            <w:tcW w:w="53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0.6</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ascii="仿宋" w:hAnsi="仿宋" w:eastAsia="仿宋" w:cs="仿宋"/>
                <w:color w:val="000000" w:themeColor="text1"/>
                <w:kern w:val="0"/>
                <w:sz w:val="15"/>
                <w:szCs w:val="15"/>
              </w:rPr>
            </w:pPr>
            <w:r>
              <w:rPr>
                <w:rFonts w:hint="eastAsia" w:ascii="仿宋" w:hAnsi="仿宋" w:eastAsia="仿宋" w:cs="仿宋"/>
                <w:b/>
                <w:bCs/>
                <w:color w:val="000000" w:themeColor="text1"/>
                <w:kern w:val="0"/>
                <w:sz w:val="15"/>
                <w:szCs w:val="15"/>
              </w:rPr>
              <w:t>研究生发表B级及以上高质量</w:t>
            </w:r>
            <w:r>
              <w:rPr>
                <w:rFonts w:ascii="仿宋" w:hAnsi="仿宋" w:eastAsia="仿宋" w:cs="仿宋"/>
                <w:b/>
                <w:bCs/>
                <w:color w:val="000000" w:themeColor="text1"/>
                <w:kern w:val="0"/>
                <w:sz w:val="15"/>
                <w:szCs w:val="15"/>
              </w:rPr>
              <w:t>论文</w:t>
            </w:r>
            <w:r>
              <w:rPr>
                <w:rFonts w:hint="eastAsia" w:ascii="仿宋" w:hAnsi="仿宋" w:eastAsia="仿宋" w:cs="仿宋"/>
                <w:b/>
                <w:bCs/>
                <w:color w:val="000000" w:themeColor="text1"/>
                <w:kern w:val="0"/>
                <w:sz w:val="15"/>
                <w:szCs w:val="15"/>
              </w:rPr>
              <w:t>1篇（排名第1）直接列为学院国奖评审候选人。</w:t>
            </w:r>
            <w:r>
              <w:rPr>
                <w:rFonts w:hint="eastAsia" w:ascii="仿宋" w:hAnsi="仿宋" w:eastAsia="仿宋" w:cs="仿宋"/>
                <w:color w:val="000000" w:themeColor="text1"/>
                <w:kern w:val="0"/>
                <w:sz w:val="15"/>
                <w:szCs w:val="15"/>
              </w:rPr>
              <w:t>B级包括：SCI（E）一区、三高期刊库T1、NI期刊、卓越期刊（领军、重点）。</w:t>
            </w:r>
          </w:p>
        </w:tc>
      </w:tr>
      <w:tr>
        <w:tblPrEx>
          <w:tblCellMar>
            <w:top w:w="0" w:type="dxa"/>
            <w:left w:w="108" w:type="dxa"/>
            <w:bottom w:w="0" w:type="dxa"/>
            <w:right w:w="108" w:type="dxa"/>
          </w:tblCellMar>
        </w:tblPrEx>
        <w:trPr>
          <w:trHeight w:val="385"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C级</w:t>
            </w:r>
          </w:p>
        </w:tc>
        <w:tc>
          <w:tcPr>
            <w:tcW w:w="54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30</w:t>
            </w:r>
          </w:p>
        </w:tc>
        <w:tc>
          <w:tcPr>
            <w:tcW w:w="496"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w:t>
            </w:r>
          </w:p>
        </w:tc>
        <w:tc>
          <w:tcPr>
            <w:tcW w:w="582"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0.8</w:t>
            </w:r>
          </w:p>
        </w:tc>
        <w:tc>
          <w:tcPr>
            <w:tcW w:w="53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 w:val="15"/>
                <w:szCs w:val="15"/>
              </w:rPr>
            </w:pPr>
            <w:r>
              <w:rPr>
                <w:rFonts w:hint="eastAsia" w:ascii="仿宋" w:hAnsi="仿宋" w:eastAsia="仿宋" w:cs="仿宋"/>
                <w:b/>
                <w:bCs/>
                <w:color w:val="000000" w:themeColor="text1"/>
                <w:kern w:val="0"/>
                <w:sz w:val="15"/>
                <w:szCs w:val="15"/>
                <w:lang w:eastAsia="zh-CN"/>
              </w:rPr>
              <w:t>发表</w:t>
            </w:r>
            <w:r>
              <w:rPr>
                <w:rFonts w:hint="eastAsia" w:ascii="仿宋" w:hAnsi="仿宋" w:eastAsia="仿宋" w:cs="仿宋"/>
                <w:b/>
                <w:bCs/>
                <w:color w:val="000000" w:themeColor="text1"/>
                <w:kern w:val="0"/>
                <w:sz w:val="15"/>
                <w:szCs w:val="15"/>
                <w:lang w:val="en-US" w:eastAsia="zh-CN"/>
              </w:rPr>
              <w:t>SCI二区论文1篇（第一作者）且获授权发明专利1项（</w:t>
            </w:r>
            <w:r>
              <w:rPr>
                <w:rFonts w:hint="eastAsia" w:ascii="仿宋" w:hAnsi="仿宋" w:eastAsia="仿宋" w:cs="仿宋"/>
                <w:b/>
                <w:bCs/>
                <w:color w:val="000000" w:themeColor="text1"/>
                <w:kern w:val="0"/>
                <w:sz w:val="15"/>
                <w:szCs w:val="15"/>
              </w:rPr>
              <w:t>排名第</w:t>
            </w:r>
            <w:r>
              <w:rPr>
                <w:rFonts w:hint="eastAsia" w:ascii="仿宋" w:hAnsi="仿宋" w:eastAsia="仿宋" w:cs="仿宋"/>
                <w:b/>
                <w:bCs/>
                <w:color w:val="000000" w:themeColor="text1"/>
                <w:kern w:val="0"/>
                <w:sz w:val="15"/>
                <w:szCs w:val="15"/>
                <w:lang w:eastAsia="zh-CN"/>
              </w:rPr>
              <w:t>一</w:t>
            </w:r>
            <w:r>
              <w:rPr>
                <w:rFonts w:hint="eastAsia" w:ascii="仿宋" w:hAnsi="仿宋" w:eastAsia="仿宋" w:cs="仿宋"/>
                <w:b/>
                <w:bCs/>
                <w:color w:val="000000" w:themeColor="text1"/>
                <w:kern w:val="0"/>
                <w:sz w:val="15"/>
                <w:szCs w:val="15"/>
                <w:lang w:val="en-US" w:eastAsia="zh-CN"/>
              </w:rPr>
              <w:t>）。</w:t>
            </w:r>
            <w:r>
              <w:rPr>
                <w:rFonts w:hint="eastAsia" w:ascii="仿宋" w:hAnsi="仿宋" w:eastAsia="仿宋" w:cs="仿宋"/>
                <w:color w:val="000000" w:themeColor="text1"/>
                <w:kern w:val="0"/>
                <w:sz w:val="15"/>
                <w:szCs w:val="15"/>
                <w:lang w:val="en-US" w:eastAsia="zh-CN"/>
              </w:rPr>
              <w:t>C</w:t>
            </w:r>
            <w:r>
              <w:rPr>
                <w:rFonts w:hint="eastAsia" w:ascii="仿宋" w:hAnsi="仿宋" w:eastAsia="仿宋" w:cs="仿宋"/>
                <w:color w:val="000000" w:themeColor="text1"/>
                <w:kern w:val="0"/>
                <w:sz w:val="15"/>
                <w:szCs w:val="15"/>
              </w:rPr>
              <w:t>级包括：SCI（E）二区、三高期刊库T2、三高会议库T1、卓越期刊（梯队）。</w:t>
            </w:r>
          </w:p>
        </w:tc>
      </w:tr>
      <w:tr>
        <w:tblPrEx>
          <w:tblCellMar>
            <w:top w:w="0" w:type="dxa"/>
            <w:left w:w="108" w:type="dxa"/>
            <w:bottom w:w="0" w:type="dxa"/>
            <w:right w:w="108" w:type="dxa"/>
          </w:tblCellMar>
        </w:tblPrEx>
        <w:trPr>
          <w:trHeight w:val="403"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D级</w:t>
            </w:r>
          </w:p>
        </w:tc>
        <w:tc>
          <w:tcPr>
            <w:tcW w:w="54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496"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w:t>
            </w:r>
          </w:p>
        </w:tc>
        <w:tc>
          <w:tcPr>
            <w:tcW w:w="582"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0.8</w:t>
            </w:r>
          </w:p>
        </w:tc>
        <w:tc>
          <w:tcPr>
            <w:tcW w:w="53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 w:val="15"/>
                <w:szCs w:val="15"/>
              </w:rPr>
            </w:pPr>
            <w:r>
              <w:rPr>
                <w:rFonts w:hint="eastAsia" w:ascii="仿宋" w:hAnsi="仿宋" w:eastAsia="仿宋" w:cs="仿宋"/>
                <w:color w:val="000000" w:themeColor="text1"/>
                <w:kern w:val="0"/>
                <w:sz w:val="15"/>
                <w:szCs w:val="15"/>
              </w:rPr>
              <w:t>SCI（E）三四区、三高期刊库T3、三高会议库T2、权威期刊。</w:t>
            </w:r>
          </w:p>
        </w:tc>
      </w:tr>
      <w:tr>
        <w:tblPrEx>
          <w:tblCellMar>
            <w:top w:w="0" w:type="dxa"/>
            <w:left w:w="108" w:type="dxa"/>
            <w:bottom w:w="0" w:type="dxa"/>
            <w:right w:w="108" w:type="dxa"/>
          </w:tblCellMar>
        </w:tblPrEx>
        <w:trPr>
          <w:trHeight w:val="366"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E级</w:t>
            </w:r>
          </w:p>
        </w:tc>
        <w:tc>
          <w:tcPr>
            <w:tcW w:w="54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w:t>
            </w:r>
          </w:p>
        </w:tc>
        <w:tc>
          <w:tcPr>
            <w:tcW w:w="496"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w:t>
            </w:r>
          </w:p>
        </w:tc>
        <w:tc>
          <w:tcPr>
            <w:tcW w:w="582"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0.8</w:t>
            </w:r>
          </w:p>
        </w:tc>
        <w:tc>
          <w:tcPr>
            <w:tcW w:w="534" w:type="dxa"/>
            <w:tcBorders>
              <w:top w:val="nil"/>
              <w:left w:val="nil"/>
              <w:bottom w:val="single" w:color="auto" w:sz="4" w:space="0"/>
              <w:right w:val="single" w:color="auto" w:sz="4" w:space="0"/>
            </w:tcBorders>
            <w:shd w:val="clear" w:color="auto" w:fill="auto"/>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 w:val="15"/>
                <w:szCs w:val="15"/>
              </w:rPr>
            </w:pPr>
            <w:r>
              <w:rPr>
                <w:rFonts w:hint="eastAsia" w:ascii="仿宋" w:hAnsi="仿宋" w:eastAsia="仿宋" w:cs="仿宋"/>
                <w:color w:val="000000" w:themeColor="text1"/>
                <w:kern w:val="0"/>
                <w:sz w:val="15"/>
                <w:szCs w:val="15"/>
              </w:rPr>
              <w:t>核心期刊，累计最高不超过6分。</w:t>
            </w:r>
          </w:p>
        </w:tc>
      </w:tr>
      <w:tr>
        <w:tblPrEx>
          <w:tblCellMar>
            <w:top w:w="0" w:type="dxa"/>
            <w:left w:w="108" w:type="dxa"/>
            <w:bottom w:w="0" w:type="dxa"/>
            <w:right w:w="108" w:type="dxa"/>
          </w:tblCellMar>
        </w:tblPrEx>
        <w:trPr>
          <w:trHeight w:val="341" w:hRule="atLeast"/>
        </w:trPr>
        <w:tc>
          <w:tcPr>
            <w:tcW w:w="656" w:type="dxa"/>
            <w:vMerge w:val="restart"/>
            <w:tcBorders>
              <w:top w:val="nil"/>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学科竞赛</w:t>
            </w:r>
          </w:p>
          <w:p>
            <w:pPr>
              <w:widowControl/>
              <w:shd w:val="clear"/>
              <w:spacing w:line="360" w:lineRule="auto"/>
              <w:jc w:val="left"/>
              <w:rPr>
                <w:rFonts w:ascii="仿宋" w:hAnsi="仿宋" w:eastAsia="仿宋" w:cs="仿宋"/>
                <w:color w:val="000000" w:themeColor="text1"/>
                <w:kern w:val="0"/>
                <w:szCs w:val="21"/>
                <w:highlight w:val="yellow"/>
              </w:rPr>
            </w:pPr>
          </w:p>
        </w:tc>
        <w:tc>
          <w:tcPr>
            <w:tcW w:w="1613" w:type="dxa"/>
            <w:tcBorders>
              <w:top w:val="nil"/>
              <w:left w:val="nil"/>
              <w:bottom w:val="single" w:color="auto" w:sz="4" w:space="0"/>
              <w:right w:val="single" w:color="auto" w:sz="4" w:space="0"/>
            </w:tcBorders>
            <w:shd w:val="clear" w:color="000000" w:fill="FFFFFF"/>
          </w:tcPr>
          <w:p>
            <w:pPr>
              <w:widowControl/>
              <w:shd w:val="clear"/>
              <w:jc w:val="left"/>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I类</w:t>
            </w:r>
            <w:r>
              <w:rPr>
                <w:rFonts w:hint="eastAsia" w:ascii="仿宋" w:hAnsi="仿宋" w:eastAsia="仿宋" w:cs="仿宋"/>
                <w:color w:val="000000" w:themeColor="text1"/>
                <w:kern w:val="0"/>
                <w:sz w:val="13"/>
                <w:szCs w:val="13"/>
              </w:rPr>
              <w:t>（国家级第一等级）</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3</w:t>
            </w:r>
            <w:r>
              <w:rPr>
                <w:rFonts w:ascii="仿宋" w:hAnsi="仿宋" w:eastAsia="仿宋" w:cs="仿宋"/>
                <w:color w:val="auto"/>
                <w:kern w:val="0"/>
                <w:sz w:val="18"/>
                <w:szCs w:val="18"/>
              </w:rPr>
              <w:t>00</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0.6</w:t>
            </w:r>
          </w:p>
        </w:tc>
        <w:tc>
          <w:tcPr>
            <w:tcW w:w="6975" w:type="dxa"/>
            <w:vMerge w:val="restart"/>
            <w:tcBorders>
              <w:top w:val="single" w:color="auto" w:sz="4" w:space="0"/>
              <w:left w:val="nil"/>
              <w:right w:val="single" w:color="auto" w:sz="4" w:space="0"/>
            </w:tcBorders>
            <w:shd w:val="clear" w:color="000000" w:fill="FFFFFF"/>
            <w:vAlign w:val="center"/>
          </w:tcPr>
          <w:p>
            <w:pPr>
              <w:widowControl/>
              <w:shd w:val="clear"/>
              <w:jc w:val="left"/>
              <w:rPr>
                <w:rFonts w:ascii="仿宋" w:hAnsi="仿宋" w:eastAsia="仿宋" w:cs="仿宋"/>
                <w:color w:val="000000" w:themeColor="text1"/>
                <w:kern w:val="0"/>
                <w:sz w:val="15"/>
                <w:szCs w:val="15"/>
              </w:rPr>
            </w:pPr>
            <w:r>
              <w:rPr>
                <w:rFonts w:hint="eastAsia" w:ascii="仿宋" w:hAnsi="仿宋" w:eastAsia="仿宋" w:cs="仿宋"/>
                <w:b/>
                <w:bCs/>
                <w:color w:val="000000" w:themeColor="text1"/>
                <w:kern w:val="0"/>
                <w:sz w:val="15"/>
                <w:szCs w:val="15"/>
              </w:rPr>
              <w:t>竞赛分类参照当年《南京信息工程大学学生创新创业竞赛项目》的竞赛分类，获创新创业竞赛I类竞赛中省级第一等级及以上奖项1项（排名前三，同一项目仅供一名学生使用）</w:t>
            </w:r>
            <w:r>
              <w:rPr>
                <w:rFonts w:hint="eastAsia" w:ascii="仿宋" w:hAnsi="仿宋" w:eastAsia="仿宋" w:cs="仿宋"/>
                <w:b/>
                <w:bCs/>
                <w:color w:val="auto"/>
                <w:kern w:val="0"/>
                <w:sz w:val="15"/>
                <w:szCs w:val="15"/>
                <w:lang w:eastAsia="zh-CN"/>
              </w:rPr>
              <w:t>且符合国家奖学金申报基本条件，</w:t>
            </w:r>
            <w:r>
              <w:rPr>
                <w:rFonts w:hint="eastAsia" w:ascii="仿宋" w:hAnsi="仿宋" w:eastAsia="仿宋" w:cs="仿宋"/>
                <w:b/>
                <w:bCs/>
                <w:color w:val="000000" w:themeColor="text1"/>
                <w:kern w:val="0"/>
                <w:sz w:val="15"/>
                <w:szCs w:val="15"/>
              </w:rPr>
              <w:t>直接列为学院国奖评审候选人。</w:t>
            </w:r>
            <w:r>
              <w:rPr>
                <w:rFonts w:hint="eastAsia" w:ascii="仿宋" w:hAnsi="仿宋" w:eastAsia="仿宋" w:cs="仿宋"/>
                <w:color w:val="000000" w:themeColor="text1"/>
                <w:kern w:val="0"/>
                <w:sz w:val="15"/>
                <w:szCs w:val="15"/>
              </w:rPr>
              <w:t>不在表中的获奖项目和类别不予加分。</w:t>
            </w:r>
          </w:p>
          <w:p>
            <w:pPr>
              <w:widowControl/>
              <w:shd w:val="clear"/>
              <w:jc w:val="left"/>
              <w:rPr>
                <w:rFonts w:ascii="仿宋" w:hAnsi="仿宋" w:eastAsia="仿宋" w:cs="仿宋"/>
                <w:color w:val="000000" w:themeColor="text1"/>
                <w:kern w:val="0"/>
                <w:szCs w:val="21"/>
              </w:rPr>
            </w:pPr>
          </w:p>
        </w:tc>
      </w:tr>
      <w:tr>
        <w:tblPrEx>
          <w:tblCellMar>
            <w:top w:w="0" w:type="dxa"/>
            <w:left w:w="108" w:type="dxa"/>
            <w:bottom w:w="0" w:type="dxa"/>
            <w:right w:w="108" w:type="dxa"/>
          </w:tblCellMar>
        </w:tblPrEx>
        <w:trPr>
          <w:trHeight w:val="369"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highlight w:val="yellow"/>
              </w:rPr>
            </w:pPr>
          </w:p>
        </w:tc>
        <w:tc>
          <w:tcPr>
            <w:tcW w:w="1613" w:type="dxa"/>
            <w:tcBorders>
              <w:top w:val="nil"/>
              <w:left w:val="nil"/>
              <w:bottom w:val="single" w:color="auto" w:sz="4" w:space="0"/>
              <w:right w:val="single" w:color="auto" w:sz="4" w:space="0"/>
            </w:tcBorders>
            <w:shd w:val="clear" w:color="000000" w:fill="FFFFFF"/>
          </w:tcPr>
          <w:p>
            <w:pPr>
              <w:widowControl/>
              <w:shd w:val="clear"/>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 w:val="18"/>
                <w:szCs w:val="18"/>
              </w:rPr>
              <w:t>I类</w:t>
            </w:r>
            <w:r>
              <w:rPr>
                <w:rFonts w:hint="eastAsia" w:ascii="仿宋" w:hAnsi="仿宋" w:eastAsia="仿宋" w:cs="仿宋"/>
                <w:color w:val="000000" w:themeColor="text1"/>
                <w:kern w:val="0"/>
                <w:sz w:val="13"/>
                <w:szCs w:val="13"/>
              </w:rPr>
              <w:t>（国家级第二等级）</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50</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0.6</w:t>
            </w:r>
          </w:p>
        </w:tc>
        <w:tc>
          <w:tcPr>
            <w:tcW w:w="6975" w:type="dxa"/>
            <w:vMerge w:val="continue"/>
            <w:tcBorders>
              <w:left w:val="nil"/>
              <w:right w:val="single" w:color="auto" w:sz="4" w:space="0"/>
            </w:tcBorders>
            <w:shd w:val="clear" w:color="000000" w:fill="FFFFFF"/>
            <w:vAlign w:val="center"/>
          </w:tcPr>
          <w:p>
            <w:pPr>
              <w:widowControl/>
              <w:shd w:val="clear"/>
              <w:jc w:val="left"/>
              <w:rPr>
                <w:rFonts w:ascii="仿宋" w:hAnsi="仿宋" w:eastAsia="仿宋" w:cs="仿宋"/>
                <w:color w:val="000000" w:themeColor="text1"/>
                <w:kern w:val="0"/>
                <w:szCs w:val="21"/>
              </w:rPr>
            </w:pPr>
          </w:p>
        </w:tc>
      </w:tr>
      <w:tr>
        <w:tblPrEx>
          <w:tblCellMar>
            <w:top w:w="0" w:type="dxa"/>
            <w:left w:w="108" w:type="dxa"/>
            <w:bottom w:w="0" w:type="dxa"/>
            <w:right w:w="108" w:type="dxa"/>
          </w:tblCellMar>
        </w:tblPrEx>
        <w:trPr>
          <w:trHeight w:val="397"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highlight w:val="yellow"/>
              </w:rPr>
            </w:pPr>
          </w:p>
        </w:tc>
        <w:tc>
          <w:tcPr>
            <w:tcW w:w="1613" w:type="dxa"/>
            <w:tcBorders>
              <w:top w:val="nil"/>
              <w:left w:val="nil"/>
              <w:bottom w:val="single" w:color="auto" w:sz="4" w:space="0"/>
              <w:right w:val="single" w:color="auto" w:sz="4" w:space="0"/>
            </w:tcBorders>
            <w:shd w:val="clear" w:color="000000" w:fill="FFFFFF"/>
          </w:tcPr>
          <w:p>
            <w:pPr>
              <w:widowControl/>
              <w:shd w:val="clear"/>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 w:val="18"/>
                <w:szCs w:val="18"/>
              </w:rPr>
              <w:t>I类</w:t>
            </w:r>
            <w:r>
              <w:rPr>
                <w:rFonts w:hint="eastAsia" w:ascii="仿宋" w:hAnsi="仿宋" w:eastAsia="仿宋" w:cs="仿宋"/>
                <w:color w:val="000000" w:themeColor="text1"/>
                <w:kern w:val="0"/>
                <w:sz w:val="13"/>
                <w:szCs w:val="13"/>
              </w:rPr>
              <w:t>（国家级第三等级）</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30</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0.6</w:t>
            </w:r>
          </w:p>
        </w:tc>
        <w:tc>
          <w:tcPr>
            <w:tcW w:w="6975" w:type="dxa"/>
            <w:vMerge w:val="continue"/>
            <w:tcBorders>
              <w:left w:val="nil"/>
              <w:right w:val="single" w:color="auto" w:sz="4" w:space="0"/>
            </w:tcBorders>
            <w:shd w:val="clear" w:color="000000" w:fill="FFFFFF"/>
            <w:vAlign w:val="center"/>
          </w:tcPr>
          <w:p>
            <w:pPr>
              <w:widowControl/>
              <w:shd w:val="clear"/>
              <w:jc w:val="left"/>
              <w:rPr>
                <w:rFonts w:ascii="仿宋" w:hAnsi="仿宋" w:eastAsia="仿宋" w:cs="仿宋"/>
                <w:color w:val="000000" w:themeColor="text1"/>
                <w:kern w:val="0"/>
                <w:szCs w:val="21"/>
              </w:rPr>
            </w:pPr>
          </w:p>
        </w:tc>
      </w:tr>
      <w:tr>
        <w:tblPrEx>
          <w:tblCellMar>
            <w:top w:w="0" w:type="dxa"/>
            <w:left w:w="108" w:type="dxa"/>
            <w:bottom w:w="0" w:type="dxa"/>
            <w:right w:w="108" w:type="dxa"/>
          </w:tblCellMar>
        </w:tblPrEx>
        <w:trPr>
          <w:trHeight w:val="356"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highlight w:val="yellow"/>
              </w:rPr>
            </w:pPr>
          </w:p>
        </w:tc>
        <w:tc>
          <w:tcPr>
            <w:tcW w:w="1613" w:type="dxa"/>
            <w:tcBorders>
              <w:top w:val="nil"/>
              <w:left w:val="nil"/>
              <w:bottom w:val="single" w:color="auto" w:sz="4" w:space="0"/>
              <w:right w:val="single" w:color="auto" w:sz="4" w:space="0"/>
            </w:tcBorders>
            <w:shd w:val="clear" w:color="000000" w:fill="FFFFFF"/>
          </w:tcPr>
          <w:p>
            <w:pPr>
              <w:widowControl/>
              <w:shd w:val="clear"/>
              <w:spacing w:line="360" w:lineRule="auto"/>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 w:val="15"/>
                <w:szCs w:val="15"/>
              </w:rPr>
              <w:t>Ⅱ类</w:t>
            </w:r>
            <w:r>
              <w:rPr>
                <w:rFonts w:hint="eastAsia" w:ascii="仿宋" w:hAnsi="仿宋" w:eastAsia="仿宋" w:cs="仿宋"/>
                <w:color w:val="000000" w:themeColor="text1"/>
                <w:kern w:val="0"/>
                <w:sz w:val="13"/>
                <w:szCs w:val="13"/>
              </w:rPr>
              <w:t>（国家级第一等级）</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40</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0.6</w:t>
            </w:r>
          </w:p>
        </w:tc>
        <w:tc>
          <w:tcPr>
            <w:tcW w:w="6975" w:type="dxa"/>
            <w:vMerge w:val="continue"/>
            <w:tcBorders>
              <w:left w:val="nil"/>
              <w:right w:val="single" w:color="auto" w:sz="4" w:space="0"/>
            </w:tcBorders>
            <w:shd w:val="clear" w:color="000000" w:fill="FFFFFF"/>
            <w:vAlign w:val="center"/>
          </w:tcPr>
          <w:p>
            <w:pPr>
              <w:widowControl/>
              <w:shd w:val="clear"/>
              <w:jc w:val="left"/>
              <w:rPr>
                <w:rFonts w:ascii="仿宋" w:hAnsi="仿宋" w:eastAsia="仿宋" w:cs="仿宋"/>
                <w:color w:val="000000" w:themeColor="text1"/>
                <w:kern w:val="0"/>
                <w:szCs w:val="21"/>
              </w:rPr>
            </w:pPr>
          </w:p>
        </w:tc>
      </w:tr>
      <w:tr>
        <w:tblPrEx>
          <w:tblCellMar>
            <w:top w:w="0" w:type="dxa"/>
            <w:left w:w="108" w:type="dxa"/>
            <w:bottom w:w="0" w:type="dxa"/>
            <w:right w:w="108" w:type="dxa"/>
          </w:tblCellMar>
        </w:tblPrEx>
        <w:trPr>
          <w:trHeight w:val="508"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000000" w:fill="FFFFFF"/>
          </w:tcPr>
          <w:p>
            <w:pPr>
              <w:widowControl/>
              <w:shd w:val="clear"/>
              <w:spacing w:line="360" w:lineRule="auto"/>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 w:val="15"/>
                <w:szCs w:val="15"/>
              </w:rPr>
              <w:t>Ⅱ类</w:t>
            </w:r>
            <w:r>
              <w:rPr>
                <w:rFonts w:hint="eastAsia" w:ascii="仿宋" w:hAnsi="仿宋" w:eastAsia="仿宋" w:cs="仿宋"/>
                <w:color w:val="000000" w:themeColor="text1"/>
                <w:kern w:val="0"/>
                <w:sz w:val="13"/>
                <w:szCs w:val="13"/>
              </w:rPr>
              <w:t>（国家级第二等级）</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0.6</w:t>
            </w:r>
          </w:p>
        </w:tc>
        <w:tc>
          <w:tcPr>
            <w:tcW w:w="6975" w:type="dxa"/>
            <w:vMerge w:val="continue"/>
            <w:tcBorders>
              <w:left w:val="nil"/>
              <w:right w:val="single" w:color="auto" w:sz="4" w:space="0"/>
            </w:tcBorders>
            <w:shd w:val="clear" w:color="000000" w:fill="FFFFFF"/>
            <w:vAlign w:val="center"/>
          </w:tcPr>
          <w:p>
            <w:pPr>
              <w:widowControl/>
              <w:shd w:val="clear"/>
              <w:spacing w:line="360" w:lineRule="auto"/>
              <w:jc w:val="left"/>
              <w:rPr>
                <w:rFonts w:ascii="仿宋" w:hAnsi="仿宋" w:eastAsia="仿宋" w:cs="仿宋"/>
                <w:color w:val="000000" w:themeColor="text1"/>
                <w:kern w:val="0"/>
                <w:szCs w:val="21"/>
              </w:rPr>
            </w:pPr>
          </w:p>
        </w:tc>
      </w:tr>
      <w:tr>
        <w:tblPrEx>
          <w:tblCellMar>
            <w:top w:w="0" w:type="dxa"/>
            <w:left w:w="108" w:type="dxa"/>
            <w:bottom w:w="0" w:type="dxa"/>
            <w:right w:w="108" w:type="dxa"/>
          </w:tblCellMar>
        </w:tblPrEx>
        <w:trPr>
          <w:trHeight w:val="451"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000000" w:fill="FFFFFF"/>
          </w:tcPr>
          <w:p>
            <w:pPr>
              <w:widowControl/>
              <w:shd w:val="clear"/>
              <w:spacing w:line="360" w:lineRule="auto"/>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 w:val="15"/>
                <w:szCs w:val="15"/>
              </w:rPr>
              <w:t>Ⅱ类</w:t>
            </w:r>
            <w:r>
              <w:rPr>
                <w:rFonts w:hint="eastAsia" w:ascii="仿宋" w:hAnsi="仿宋" w:eastAsia="仿宋" w:cs="仿宋"/>
                <w:color w:val="000000" w:themeColor="text1"/>
                <w:kern w:val="0"/>
                <w:sz w:val="13"/>
                <w:szCs w:val="13"/>
              </w:rPr>
              <w:t>（国家级第三等级）</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12</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0.6</w:t>
            </w:r>
          </w:p>
        </w:tc>
        <w:tc>
          <w:tcPr>
            <w:tcW w:w="6975" w:type="dxa"/>
            <w:vMerge w:val="continue"/>
            <w:tcBorders>
              <w:left w:val="nil"/>
              <w:right w:val="single" w:color="auto" w:sz="4" w:space="0"/>
            </w:tcBorders>
            <w:shd w:val="clear" w:color="000000" w:fill="FFFFFF"/>
            <w:vAlign w:val="center"/>
          </w:tcPr>
          <w:p>
            <w:pPr>
              <w:widowControl/>
              <w:shd w:val="clear"/>
              <w:spacing w:line="360" w:lineRule="auto"/>
              <w:jc w:val="left"/>
              <w:rPr>
                <w:rFonts w:ascii="仿宋" w:hAnsi="仿宋" w:eastAsia="仿宋" w:cs="仿宋"/>
                <w:color w:val="000000" w:themeColor="text1"/>
                <w:kern w:val="0"/>
                <w:szCs w:val="21"/>
              </w:rPr>
            </w:pPr>
          </w:p>
        </w:tc>
      </w:tr>
      <w:tr>
        <w:tblPrEx>
          <w:tblCellMar>
            <w:top w:w="0" w:type="dxa"/>
            <w:left w:w="108" w:type="dxa"/>
            <w:bottom w:w="0" w:type="dxa"/>
            <w:right w:w="108" w:type="dxa"/>
          </w:tblCellMar>
        </w:tblPrEx>
        <w:trPr>
          <w:trHeight w:val="546"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000000" w:fill="FFFFFF"/>
          </w:tcPr>
          <w:p>
            <w:pPr>
              <w:widowControl/>
              <w:shd w:val="clear"/>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 w:val="18"/>
                <w:szCs w:val="18"/>
              </w:rPr>
              <w:t>I类</w:t>
            </w:r>
            <w:r>
              <w:rPr>
                <w:rFonts w:hint="eastAsia" w:ascii="仿宋" w:hAnsi="仿宋" w:eastAsia="仿宋" w:cs="仿宋"/>
                <w:color w:val="000000" w:themeColor="text1"/>
                <w:kern w:val="0"/>
                <w:sz w:val="13"/>
                <w:szCs w:val="13"/>
              </w:rPr>
              <w:t>（</w:t>
            </w:r>
            <w:r>
              <w:rPr>
                <w:rFonts w:hint="eastAsia" w:ascii="仿宋" w:hAnsi="仿宋" w:eastAsia="仿宋" w:cs="仿宋"/>
                <w:color w:val="000000" w:themeColor="text1"/>
                <w:kern w:val="0"/>
                <w:sz w:val="15"/>
                <w:szCs w:val="15"/>
              </w:rPr>
              <w:t>省级</w:t>
            </w:r>
            <w:r>
              <w:rPr>
                <w:rFonts w:hint="eastAsia" w:ascii="仿宋" w:hAnsi="仿宋" w:eastAsia="仿宋" w:cs="仿宋"/>
                <w:color w:val="000000" w:themeColor="text1"/>
                <w:kern w:val="0"/>
                <w:sz w:val="13"/>
                <w:szCs w:val="13"/>
              </w:rPr>
              <w:t>第一等级）</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12</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0.6</w:t>
            </w:r>
          </w:p>
        </w:tc>
        <w:tc>
          <w:tcPr>
            <w:tcW w:w="6975" w:type="dxa"/>
            <w:vMerge w:val="continue"/>
            <w:tcBorders>
              <w:left w:val="nil"/>
              <w:right w:val="single" w:color="auto" w:sz="4" w:space="0"/>
            </w:tcBorders>
            <w:shd w:val="clear" w:color="000000" w:fill="FFFFFF"/>
            <w:vAlign w:val="center"/>
          </w:tcPr>
          <w:p>
            <w:pPr>
              <w:widowControl/>
              <w:shd w:val="clear"/>
              <w:spacing w:line="360" w:lineRule="auto"/>
              <w:jc w:val="left"/>
              <w:rPr>
                <w:rFonts w:ascii="仿宋" w:hAnsi="仿宋" w:eastAsia="仿宋" w:cs="仿宋"/>
                <w:color w:val="000000" w:themeColor="text1"/>
                <w:kern w:val="0"/>
                <w:szCs w:val="21"/>
              </w:rPr>
            </w:pPr>
          </w:p>
        </w:tc>
      </w:tr>
      <w:tr>
        <w:tblPrEx>
          <w:tblCellMar>
            <w:top w:w="0" w:type="dxa"/>
            <w:left w:w="108" w:type="dxa"/>
            <w:bottom w:w="0" w:type="dxa"/>
            <w:right w:w="108" w:type="dxa"/>
          </w:tblCellMar>
        </w:tblPrEx>
        <w:trPr>
          <w:trHeight w:val="403"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000000" w:fill="FFFFFF"/>
          </w:tcPr>
          <w:p>
            <w:pPr>
              <w:widowControl/>
              <w:shd w:val="clear"/>
              <w:spacing w:line="360" w:lineRule="auto"/>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 w:val="18"/>
                <w:szCs w:val="18"/>
              </w:rPr>
              <w:t>I类</w:t>
            </w:r>
            <w:r>
              <w:rPr>
                <w:rFonts w:hint="eastAsia" w:ascii="仿宋" w:hAnsi="仿宋" w:eastAsia="仿宋" w:cs="仿宋"/>
                <w:color w:val="000000" w:themeColor="text1"/>
                <w:kern w:val="0"/>
                <w:sz w:val="13"/>
                <w:szCs w:val="13"/>
              </w:rPr>
              <w:t>（</w:t>
            </w:r>
            <w:r>
              <w:rPr>
                <w:rFonts w:hint="eastAsia" w:ascii="仿宋" w:hAnsi="仿宋" w:eastAsia="仿宋" w:cs="仿宋"/>
                <w:color w:val="000000" w:themeColor="text1"/>
                <w:kern w:val="0"/>
                <w:sz w:val="15"/>
                <w:szCs w:val="15"/>
              </w:rPr>
              <w:t>省级</w:t>
            </w:r>
            <w:r>
              <w:rPr>
                <w:rFonts w:hint="eastAsia" w:ascii="仿宋" w:hAnsi="仿宋" w:eastAsia="仿宋" w:cs="仿宋"/>
                <w:color w:val="000000" w:themeColor="text1"/>
                <w:kern w:val="0"/>
                <w:sz w:val="13"/>
                <w:szCs w:val="13"/>
              </w:rPr>
              <w:t>第二等级）</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6</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0.6</w:t>
            </w:r>
          </w:p>
        </w:tc>
        <w:tc>
          <w:tcPr>
            <w:tcW w:w="6975" w:type="dxa"/>
            <w:vMerge w:val="continue"/>
            <w:tcBorders>
              <w:left w:val="nil"/>
              <w:right w:val="single" w:color="auto" w:sz="4" w:space="0"/>
            </w:tcBorders>
            <w:shd w:val="clear" w:color="000000" w:fill="FFFFFF"/>
            <w:vAlign w:val="center"/>
          </w:tcPr>
          <w:p>
            <w:pPr>
              <w:widowControl/>
              <w:shd w:val="clear"/>
              <w:spacing w:line="360" w:lineRule="auto"/>
              <w:jc w:val="left"/>
              <w:rPr>
                <w:rFonts w:ascii="仿宋" w:hAnsi="仿宋" w:eastAsia="仿宋" w:cs="仿宋"/>
                <w:color w:val="000000" w:themeColor="text1"/>
                <w:kern w:val="0"/>
                <w:szCs w:val="21"/>
              </w:rPr>
            </w:pPr>
          </w:p>
        </w:tc>
      </w:tr>
      <w:tr>
        <w:tblPrEx>
          <w:tblCellMar>
            <w:top w:w="0" w:type="dxa"/>
            <w:left w:w="108" w:type="dxa"/>
            <w:bottom w:w="0" w:type="dxa"/>
            <w:right w:w="108" w:type="dxa"/>
          </w:tblCellMar>
        </w:tblPrEx>
        <w:trPr>
          <w:trHeight w:val="205"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000000" w:fill="FFFFFF"/>
          </w:tcPr>
          <w:p>
            <w:pPr>
              <w:widowControl/>
              <w:shd w:val="clear"/>
              <w:spacing w:line="360" w:lineRule="auto"/>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 w:val="18"/>
                <w:szCs w:val="18"/>
              </w:rPr>
              <w:t>I类</w:t>
            </w:r>
            <w:r>
              <w:rPr>
                <w:rFonts w:hint="eastAsia" w:ascii="仿宋" w:hAnsi="仿宋" w:eastAsia="仿宋" w:cs="仿宋"/>
                <w:color w:val="000000" w:themeColor="text1"/>
                <w:kern w:val="0"/>
                <w:sz w:val="13"/>
                <w:szCs w:val="13"/>
              </w:rPr>
              <w:t>（</w:t>
            </w:r>
            <w:r>
              <w:rPr>
                <w:rFonts w:hint="eastAsia" w:ascii="仿宋" w:hAnsi="仿宋" w:eastAsia="仿宋" w:cs="仿宋"/>
                <w:color w:val="000000" w:themeColor="text1"/>
                <w:kern w:val="0"/>
                <w:sz w:val="15"/>
                <w:szCs w:val="15"/>
              </w:rPr>
              <w:t>省级</w:t>
            </w:r>
            <w:r>
              <w:rPr>
                <w:rFonts w:hint="eastAsia" w:ascii="仿宋" w:hAnsi="仿宋" w:eastAsia="仿宋" w:cs="仿宋"/>
                <w:color w:val="000000" w:themeColor="text1"/>
                <w:kern w:val="0"/>
                <w:sz w:val="13"/>
                <w:szCs w:val="13"/>
              </w:rPr>
              <w:t>第三等级）</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4</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0.6</w:t>
            </w:r>
          </w:p>
        </w:tc>
        <w:tc>
          <w:tcPr>
            <w:tcW w:w="6975" w:type="dxa"/>
            <w:vMerge w:val="continue"/>
            <w:tcBorders>
              <w:left w:val="nil"/>
              <w:right w:val="single" w:color="auto" w:sz="4" w:space="0"/>
            </w:tcBorders>
            <w:shd w:val="clear" w:color="000000" w:fill="FFFFFF"/>
            <w:vAlign w:val="center"/>
          </w:tcPr>
          <w:p>
            <w:pPr>
              <w:widowControl/>
              <w:shd w:val="clear"/>
              <w:spacing w:line="360" w:lineRule="auto"/>
              <w:jc w:val="left"/>
              <w:rPr>
                <w:rFonts w:ascii="仿宋" w:hAnsi="仿宋" w:eastAsia="仿宋" w:cs="仿宋"/>
                <w:color w:val="000000" w:themeColor="text1"/>
                <w:kern w:val="0"/>
                <w:szCs w:val="21"/>
              </w:rPr>
            </w:pPr>
          </w:p>
        </w:tc>
      </w:tr>
      <w:tr>
        <w:tblPrEx>
          <w:tblCellMar>
            <w:top w:w="0" w:type="dxa"/>
            <w:left w:w="108" w:type="dxa"/>
            <w:bottom w:w="0" w:type="dxa"/>
            <w:right w:w="108" w:type="dxa"/>
          </w:tblCellMar>
        </w:tblPrEx>
        <w:trPr>
          <w:trHeight w:val="465"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000000" w:fill="FFFFFF"/>
          </w:tcPr>
          <w:p>
            <w:pPr>
              <w:widowControl/>
              <w:shd w:val="clear"/>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 w:val="15"/>
                <w:szCs w:val="15"/>
              </w:rPr>
              <w:t>Ⅱ</w:t>
            </w:r>
            <w:r>
              <w:rPr>
                <w:rFonts w:hint="eastAsia" w:ascii="仿宋" w:hAnsi="仿宋" w:eastAsia="仿宋" w:cs="仿宋"/>
                <w:color w:val="000000" w:themeColor="text1"/>
                <w:kern w:val="0"/>
                <w:sz w:val="18"/>
                <w:szCs w:val="18"/>
              </w:rPr>
              <w:t>类</w:t>
            </w:r>
            <w:r>
              <w:rPr>
                <w:rFonts w:hint="eastAsia" w:ascii="仿宋" w:hAnsi="仿宋" w:eastAsia="仿宋" w:cs="仿宋"/>
                <w:color w:val="000000" w:themeColor="text1"/>
                <w:kern w:val="0"/>
                <w:sz w:val="13"/>
                <w:szCs w:val="13"/>
              </w:rPr>
              <w:t>（</w:t>
            </w:r>
            <w:r>
              <w:rPr>
                <w:rFonts w:hint="eastAsia" w:ascii="仿宋" w:hAnsi="仿宋" w:eastAsia="仿宋" w:cs="仿宋"/>
                <w:color w:val="000000" w:themeColor="text1"/>
                <w:kern w:val="0"/>
                <w:sz w:val="15"/>
                <w:szCs w:val="15"/>
              </w:rPr>
              <w:t>省级</w:t>
            </w:r>
            <w:r>
              <w:rPr>
                <w:rFonts w:hint="eastAsia" w:ascii="仿宋" w:hAnsi="仿宋" w:eastAsia="仿宋" w:cs="仿宋"/>
                <w:color w:val="000000" w:themeColor="text1"/>
                <w:kern w:val="0"/>
                <w:sz w:val="13"/>
                <w:szCs w:val="13"/>
              </w:rPr>
              <w:t>第一等级）</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6</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0.6</w:t>
            </w:r>
          </w:p>
        </w:tc>
        <w:tc>
          <w:tcPr>
            <w:tcW w:w="6975" w:type="dxa"/>
            <w:vMerge w:val="continue"/>
            <w:tcBorders>
              <w:left w:val="nil"/>
              <w:right w:val="single" w:color="auto" w:sz="4" w:space="0"/>
            </w:tcBorders>
            <w:shd w:val="clear" w:color="000000" w:fill="FFFFFF"/>
          </w:tcPr>
          <w:p>
            <w:pPr>
              <w:widowControl/>
              <w:shd w:val="clear"/>
              <w:spacing w:line="360" w:lineRule="auto"/>
              <w:jc w:val="left"/>
              <w:rPr>
                <w:rFonts w:ascii="仿宋" w:hAnsi="仿宋" w:eastAsia="仿宋" w:cs="仿宋"/>
                <w:color w:val="000000" w:themeColor="text1"/>
                <w:kern w:val="0"/>
                <w:szCs w:val="21"/>
              </w:rPr>
            </w:pPr>
          </w:p>
        </w:tc>
      </w:tr>
      <w:tr>
        <w:tblPrEx>
          <w:tblCellMar>
            <w:top w:w="0" w:type="dxa"/>
            <w:left w:w="108" w:type="dxa"/>
            <w:bottom w:w="0" w:type="dxa"/>
            <w:right w:w="108" w:type="dxa"/>
          </w:tblCellMar>
        </w:tblPrEx>
        <w:trPr>
          <w:trHeight w:val="466"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000000" w:fill="FFFFFF"/>
          </w:tcPr>
          <w:p>
            <w:pPr>
              <w:widowControl/>
              <w:shd w:val="clear"/>
              <w:spacing w:line="360" w:lineRule="auto"/>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 w:val="15"/>
                <w:szCs w:val="15"/>
              </w:rPr>
              <w:t>Ⅱ</w:t>
            </w:r>
            <w:r>
              <w:rPr>
                <w:rFonts w:hint="eastAsia" w:ascii="仿宋" w:hAnsi="仿宋" w:eastAsia="仿宋" w:cs="仿宋"/>
                <w:color w:val="000000" w:themeColor="text1"/>
                <w:kern w:val="0"/>
                <w:sz w:val="18"/>
                <w:szCs w:val="18"/>
              </w:rPr>
              <w:t>类</w:t>
            </w:r>
            <w:r>
              <w:rPr>
                <w:rFonts w:hint="eastAsia" w:ascii="仿宋" w:hAnsi="仿宋" w:eastAsia="仿宋" w:cs="仿宋"/>
                <w:color w:val="000000" w:themeColor="text1"/>
                <w:kern w:val="0"/>
                <w:sz w:val="13"/>
                <w:szCs w:val="13"/>
              </w:rPr>
              <w:t>（</w:t>
            </w:r>
            <w:r>
              <w:rPr>
                <w:rFonts w:hint="eastAsia" w:ascii="仿宋" w:hAnsi="仿宋" w:eastAsia="仿宋" w:cs="仿宋"/>
                <w:color w:val="000000" w:themeColor="text1"/>
                <w:kern w:val="0"/>
                <w:sz w:val="15"/>
                <w:szCs w:val="15"/>
              </w:rPr>
              <w:t>省级</w:t>
            </w:r>
            <w:r>
              <w:rPr>
                <w:rFonts w:hint="eastAsia" w:ascii="仿宋" w:hAnsi="仿宋" w:eastAsia="仿宋" w:cs="仿宋"/>
                <w:color w:val="000000" w:themeColor="text1"/>
                <w:kern w:val="0"/>
                <w:sz w:val="13"/>
                <w:szCs w:val="13"/>
              </w:rPr>
              <w:t>第二等级）</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0.6</w:t>
            </w:r>
          </w:p>
        </w:tc>
        <w:tc>
          <w:tcPr>
            <w:tcW w:w="6975" w:type="dxa"/>
            <w:vMerge w:val="continue"/>
            <w:tcBorders>
              <w:left w:val="nil"/>
              <w:right w:val="single" w:color="auto" w:sz="4" w:space="0"/>
            </w:tcBorders>
            <w:shd w:val="clear" w:color="000000" w:fill="FFFFFF"/>
          </w:tcPr>
          <w:p>
            <w:pPr>
              <w:widowControl/>
              <w:shd w:val="clear"/>
              <w:spacing w:line="360" w:lineRule="auto"/>
              <w:jc w:val="left"/>
              <w:rPr>
                <w:rFonts w:ascii="仿宋" w:hAnsi="仿宋" w:eastAsia="仿宋" w:cs="仿宋"/>
                <w:color w:val="000000" w:themeColor="text1"/>
                <w:kern w:val="0"/>
                <w:szCs w:val="21"/>
              </w:rPr>
            </w:pPr>
          </w:p>
        </w:tc>
      </w:tr>
      <w:tr>
        <w:tblPrEx>
          <w:tblCellMar>
            <w:top w:w="0" w:type="dxa"/>
            <w:left w:w="108" w:type="dxa"/>
            <w:bottom w:w="0" w:type="dxa"/>
            <w:right w:w="108" w:type="dxa"/>
          </w:tblCellMar>
        </w:tblPrEx>
        <w:trPr>
          <w:trHeight w:val="376" w:hRule="atLeast"/>
        </w:trPr>
        <w:tc>
          <w:tcPr>
            <w:tcW w:w="656" w:type="dxa"/>
            <w:vMerge w:val="continue"/>
            <w:tcBorders>
              <w:left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p>
        </w:tc>
        <w:tc>
          <w:tcPr>
            <w:tcW w:w="1613" w:type="dxa"/>
            <w:tcBorders>
              <w:top w:val="nil"/>
              <w:left w:val="nil"/>
              <w:bottom w:val="single" w:color="auto" w:sz="4" w:space="0"/>
              <w:right w:val="single" w:color="auto" w:sz="4" w:space="0"/>
            </w:tcBorders>
            <w:shd w:val="clear" w:color="000000" w:fill="FFFFFF"/>
          </w:tcPr>
          <w:p>
            <w:pPr>
              <w:widowControl/>
              <w:shd w:val="clear"/>
              <w:spacing w:line="360" w:lineRule="auto"/>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 w:val="15"/>
                <w:szCs w:val="15"/>
              </w:rPr>
              <w:t>Ⅱ</w:t>
            </w:r>
            <w:r>
              <w:rPr>
                <w:rFonts w:hint="eastAsia" w:ascii="仿宋" w:hAnsi="仿宋" w:eastAsia="仿宋" w:cs="仿宋"/>
                <w:color w:val="000000" w:themeColor="text1"/>
                <w:kern w:val="0"/>
                <w:sz w:val="18"/>
                <w:szCs w:val="18"/>
              </w:rPr>
              <w:t>类</w:t>
            </w:r>
            <w:r>
              <w:rPr>
                <w:rFonts w:hint="eastAsia" w:ascii="仿宋" w:hAnsi="仿宋" w:eastAsia="仿宋" w:cs="仿宋"/>
                <w:color w:val="000000" w:themeColor="text1"/>
                <w:kern w:val="0"/>
                <w:sz w:val="13"/>
                <w:szCs w:val="13"/>
              </w:rPr>
              <w:t>（</w:t>
            </w:r>
            <w:r>
              <w:rPr>
                <w:rFonts w:hint="eastAsia" w:ascii="仿宋" w:hAnsi="仿宋" w:eastAsia="仿宋" w:cs="仿宋"/>
                <w:color w:val="000000" w:themeColor="text1"/>
                <w:kern w:val="0"/>
                <w:sz w:val="15"/>
                <w:szCs w:val="15"/>
              </w:rPr>
              <w:t>省级</w:t>
            </w:r>
            <w:r>
              <w:rPr>
                <w:rFonts w:hint="eastAsia" w:ascii="仿宋" w:hAnsi="仿宋" w:eastAsia="仿宋" w:cs="仿宋"/>
                <w:color w:val="000000" w:themeColor="text1"/>
                <w:kern w:val="0"/>
                <w:sz w:val="13"/>
                <w:szCs w:val="13"/>
              </w:rPr>
              <w:t>第三等级）</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0.6</w:t>
            </w:r>
          </w:p>
        </w:tc>
        <w:tc>
          <w:tcPr>
            <w:tcW w:w="6975" w:type="dxa"/>
            <w:vMerge w:val="continue"/>
            <w:tcBorders>
              <w:left w:val="nil"/>
              <w:bottom w:val="single" w:color="auto" w:sz="4" w:space="0"/>
              <w:right w:val="single" w:color="auto" w:sz="4" w:space="0"/>
            </w:tcBorders>
            <w:shd w:val="clear" w:color="000000" w:fill="FFFFFF"/>
          </w:tcPr>
          <w:p>
            <w:pPr>
              <w:widowControl/>
              <w:shd w:val="clear"/>
              <w:spacing w:line="360" w:lineRule="auto"/>
              <w:jc w:val="left"/>
              <w:rPr>
                <w:rFonts w:ascii="仿宋" w:hAnsi="仿宋" w:eastAsia="仿宋" w:cs="仿宋"/>
                <w:color w:val="000000" w:themeColor="text1"/>
                <w:kern w:val="0"/>
                <w:szCs w:val="21"/>
              </w:rPr>
            </w:pPr>
          </w:p>
        </w:tc>
      </w:tr>
      <w:tr>
        <w:tblPrEx>
          <w:tblCellMar>
            <w:top w:w="0" w:type="dxa"/>
            <w:left w:w="108" w:type="dxa"/>
            <w:bottom w:w="0" w:type="dxa"/>
            <w:right w:w="108" w:type="dxa"/>
          </w:tblCellMar>
        </w:tblPrEx>
        <w:trPr>
          <w:trHeight w:val="349"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60" w:lineRule="auto"/>
              <w:jc w:val="left"/>
              <w:rPr>
                <w:rFonts w:ascii="仿宋" w:hAnsi="仿宋" w:eastAsia="仿宋" w:cs="仿宋"/>
                <w:color w:val="000000" w:themeColor="text1"/>
                <w:kern w:val="0"/>
                <w:szCs w:val="21"/>
              </w:rPr>
            </w:pPr>
            <w:r>
              <w:rPr>
                <w:rFonts w:hint="eastAsia" w:ascii="仿宋" w:hAnsi="仿宋" w:eastAsia="仿宋" w:cs="仿宋"/>
                <w:b/>
                <w:bCs/>
                <w:color w:val="000000" w:themeColor="text1"/>
                <w:kern w:val="0"/>
                <w:szCs w:val="21"/>
              </w:rPr>
              <w:t>专利</w:t>
            </w:r>
          </w:p>
        </w:tc>
        <w:tc>
          <w:tcPr>
            <w:tcW w:w="1613" w:type="dxa"/>
            <w:tcBorders>
              <w:top w:val="nil"/>
              <w:left w:val="nil"/>
              <w:bottom w:val="single" w:color="auto" w:sz="4" w:space="0"/>
              <w:right w:val="single" w:color="auto" w:sz="4" w:space="0"/>
            </w:tcBorders>
            <w:shd w:val="clear" w:color="000000" w:fill="FFFFFF"/>
            <w:vAlign w:val="center"/>
          </w:tcPr>
          <w:p>
            <w:pPr>
              <w:widowControl/>
              <w:shd w:val="clear"/>
              <w:spacing w:line="360" w:lineRule="auto"/>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 w:val="18"/>
                <w:szCs w:val="18"/>
              </w:rPr>
              <w:t>发明专利</w:t>
            </w:r>
          </w:p>
        </w:tc>
        <w:tc>
          <w:tcPr>
            <w:tcW w:w="544" w:type="dxa"/>
            <w:tcBorders>
              <w:top w:val="nil"/>
              <w:left w:val="nil"/>
              <w:bottom w:val="single" w:color="auto" w:sz="4" w:space="0"/>
              <w:right w:val="single" w:color="auto" w:sz="4" w:space="0"/>
            </w:tcBorders>
            <w:shd w:val="clear" w:color="000000" w:fill="FFFFFF"/>
            <w:vAlign w:val="center"/>
          </w:tcPr>
          <w:p>
            <w:pPr>
              <w:widowControl/>
              <w:shd w:val="clear"/>
              <w:spacing w:line="360" w:lineRule="auto"/>
              <w:jc w:val="center"/>
              <w:rPr>
                <w:rFonts w:ascii="仿宋" w:hAnsi="仿宋" w:eastAsia="仿宋" w:cs="仿宋"/>
                <w:color w:val="FF0000"/>
                <w:kern w:val="0"/>
                <w:sz w:val="18"/>
                <w:szCs w:val="18"/>
              </w:rPr>
            </w:pPr>
            <w:r>
              <w:rPr>
                <w:rFonts w:hint="eastAsia" w:ascii="仿宋" w:hAnsi="仿宋" w:eastAsia="仿宋" w:cs="仿宋"/>
                <w:color w:val="000000" w:themeColor="text1"/>
                <w:kern w:val="0"/>
                <w:sz w:val="18"/>
                <w:szCs w:val="18"/>
              </w:rPr>
              <w:t>15</w:t>
            </w:r>
          </w:p>
        </w:tc>
        <w:tc>
          <w:tcPr>
            <w:tcW w:w="496" w:type="dxa"/>
            <w:tcBorders>
              <w:top w:val="nil"/>
              <w:left w:val="nil"/>
              <w:bottom w:val="single" w:color="auto" w:sz="4" w:space="0"/>
              <w:right w:val="single" w:color="auto" w:sz="4" w:space="0"/>
            </w:tcBorders>
            <w:shd w:val="clear" w:color="000000" w:fill="FFFFFF"/>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w:t>
            </w:r>
          </w:p>
        </w:tc>
        <w:tc>
          <w:tcPr>
            <w:tcW w:w="582" w:type="dxa"/>
            <w:tcBorders>
              <w:top w:val="nil"/>
              <w:left w:val="nil"/>
              <w:bottom w:val="single" w:color="auto" w:sz="4" w:space="0"/>
              <w:right w:val="single" w:color="auto" w:sz="4" w:space="0"/>
            </w:tcBorders>
            <w:shd w:val="clear" w:color="000000" w:fill="FFFFFF"/>
            <w:vAlign w:val="center"/>
          </w:tcPr>
          <w:p>
            <w:pPr>
              <w:widowControl/>
              <w:shd w:val="clear"/>
              <w:spacing w:line="360" w:lineRule="auto"/>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0.8</w:t>
            </w:r>
          </w:p>
        </w:tc>
        <w:tc>
          <w:tcPr>
            <w:tcW w:w="534" w:type="dxa"/>
            <w:tcBorders>
              <w:top w:val="nil"/>
              <w:left w:val="nil"/>
              <w:bottom w:val="single" w:color="auto" w:sz="4" w:space="0"/>
              <w:right w:val="single" w:color="auto" w:sz="4" w:space="0"/>
            </w:tcBorders>
            <w:shd w:val="clear" w:color="000000" w:fill="FFFFFF"/>
            <w:vAlign w:val="center"/>
          </w:tcPr>
          <w:p>
            <w:pPr>
              <w:widowControl/>
              <w:shd w:val="clear"/>
              <w:spacing w:line="360" w:lineRule="auto"/>
              <w:jc w:val="left"/>
              <w:rPr>
                <w:rFonts w:ascii="仿宋" w:hAnsi="仿宋" w:eastAsia="仿宋" w:cs="仿宋"/>
                <w:b/>
                <w:bCs/>
                <w:color w:val="000000" w:themeColor="text1"/>
                <w:kern w:val="0"/>
                <w:sz w:val="15"/>
                <w:szCs w:val="15"/>
              </w:rPr>
            </w:pPr>
            <w:r>
              <w:rPr>
                <w:rFonts w:hint="eastAsia" w:ascii="仿宋" w:hAnsi="仿宋" w:eastAsia="仿宋" w:cs="仿宋"/>
                <w:color w:val="000000" w:themeColor="text1"/>
                <w:kern w:val="0"/>
                <w:sz w:val="18"/>
                <w:szCs w:val="18"/>
              </w:rPr>
              <w:t>0.2</w:t>
            </w:r>
          </w:p>
        </w:tc>
        <w:tc>
          <w:tcPr>
            <w:tcW w:w="6975" w:type="dxa"/>
            <w:tcBorders>
              <w:top w:val="nil"/>
              <w:left w:val="nil"/>
              <w:bottom w:val="single" w:color="auto" w:sz="4" w:space="0"/>
              <w:right w:val="single" w:color="auto" w:sz="4" w:space="0"/>
            </w:tcBorders>
            <w:shd w:val="clear" w:color="000000" w:fill="FFFFFF"/>
            <w:vAlign w:val="center"/>
          </w:tcPr>
          <w:p>
            <w:pPr>
              <w:widowControl/>
              <w:shd w:val="clear"/>
              <w:spacing w:line="360" w:lineRule="auto"/>
              <w:jc w:val="left"/>
              <w:rPr>
                <w:rFonts w:ascii="仿宋" w:hAnsi="仿宋" w:eastAsia="仿宋" w:cs="仿宋"/>
                <w:b/>
                <w:bCs/>
                <w:color w:val="000000" w:themeColor="text1"/>
                <w:kern w:val="0"/>
                <w:sz w:val="15"/>
                <w:szCs w:val="15"/>
              </w:rPr>
            </w:pPr>
            <w:r>
              <w:rPr>
                <w:rFonts w:hint="eastAsia" w:ascii="仿宋" w:hAnsi="仿宋" w:eastAsia="仿宋" w:cs="仿宋"/>
                <w:b/>
                <w:bCs/>
                <w:color w:val="000000" w:themeColor="text1"/>
                <w:kern w:val="0"/>
                <w:sz w:val="15"/>
                <w:szCs w:val="15"/>
              </w:rPr>
              <w:t>获</w:t>
            </w:r>
            <w:r>
              <w:rPr>
                <w:rFonts w:ascii="仿宋" w:hAnsi="仿宋" w:eastAsia="仿宋" w:cs="仿宋"/>
                <w:b/>
                <w:bCs/>
                <w:color w:val="000000" w:themeColor="text1"/>
                <w:kern w:val="0"/>
                <w:sz w:val="15"/>
                <w:szCs w:val="15"/>
              </w:rPr>
              <w:t>授权国际专利</w:t>
            </w:r>
            <w:r>
              <w:rPr>
                <w:rFonts w:hint="eastAsia" w:ascii="仿宋" w:hAnsi="仿宋" w:eastAsia="仿宋" w:cs="仿宋"/>
                <w:b/>
                <w:bCs/>
                <w:color w:val="000000" w:themeColor="text1"/>
                <w:kern w:val="0"/>
                <w:sz w:val="15"/>
                <w:szCs w:val="15"/>
              </w:rPr>
              <w:t>1项（排名第1）直接列为学院国奖评审候选人。</w:t>
            </w:r>
          </w:p>
        </w:tc>
      </w:tr>
    </w:tbl>
    <w:p>
      <w:pPr>
        <w:widowControl/>
        <w:shd w:val="clear"/>
        <w:spacing w:line="360" w:lineRule="auto"/>
        <w:rPr>
          <w:rFonts w:ascii="宋体" w:hAnsi="宋体" w:cs="宋体"/>
          <w:b/>
          <w:sz w:val="24"/>
        </w:rPr>
      </w:pPr>
      <w:r>
        <w:rPr>
          <w:rFonts w:hint="eastAsia" w:ascii="宋体" w:hAnsi="宋体" w:cs="宋体"/>
          <w:b/>
          <w:sz w:val="24"/>
        </w:rPr>
        <w:t>五、评审程序</w:t>
      </w:r>
    </w:p>
    <w:p>
      <w:pPr>
        <w:widowControl/>
        <w:shd w:val="clear"/>
        <w:spacing w:line="440" w:lineRule="exact"/>
        <w:ind w:firstLine="480" w:firstLineChars="200"/>
        <w:jc w:val="left"/>
        <w:rPr>
          <w:kern w:val="0"/>
          <w:sz w:val="24"/>
        </w:rPr>
      </w:pPr>
      <w:r>
        <w:rPr>
          <w:kern w:val="0"/>
          <w:sz w:val="24"/>
        </w:rPr>
        <w:t>评审分为学生申请、学院初评、学院公示、学校评审及公示上报五个步骤。</w:t>
      </w:r>
    </w:p>
    <w:p>
      <w:pPr>
        <w:widowControl/>
        <w:spacing w:line="440" w:lineRule="exact"/>
        <w:ind w:firstLine="480" w:firstLineChars="200"/>
        <w:jc w:val="left"/>
        <w:rPr>
          <w:kern w:val="0"/>
          <w:sz w:val="24"/>
        </w:rPr>
      </w:pPr>
      <w:r>
        <w:rPr>
          <w:kern w:val="0"/>
          <w:sz w:val="24"/>
        </w:rPr>
        <w:t>1.学生申请</w:t>
      </w:r>
    </w:p>
    <w:p>
      <w:pPr>
        <w:widowControl/>
        <w:spacing w:line="440" w:lineRule="exact"/>
        <w:ind w:firstLine="480" w:firstLineChars="200"/>
        <w:jc w:val="left"/>
        <w:rPr>
          <w:kern w:val="0"/>
          <w:sz w:val="24"/>
        </w:rPr>
      </w:pPr>
      <w:r>
        <w:rPr>
          <w:kern w:val="0"/>
          <w:sz w:val="24"/>
        </w:rPr>
        <w:t>有意愿并符合申请条件的研究生，如实填写《研究生国家奖学金申请审批表》（附件1）、《博士研究生国家奖学金获奖学生汇总表》（附件2）、《硕士研究生国家奖学金获奖学生汇总表》（附件3）和《研究生国家奖学金评审汇总表》（附件4）向所在学院提出申请，并根据要求提供本人课程成绩单、学位课加权平均成绩及排名、科研成果等相关材料。《研究生国家奖学金申请审批表》填写要求见附件5。</w:t>
      </w:r>
    </w:p>
    <w:p>
      <w:pPr>
        <w:widowControl/>
        <w:spacing w:line="440" w:lineRule="exact"/>
        <w:ind w:firstLine="480" w:firstLineChars="200"/>
        <w:jc w:val="left"/>
        <w:rPr>
          <w:kern w:val="0"/>
          <w:sz w:val="24"/>
        </w:rPr>
      </w:pPr>
      <w:r>
        <w:rPr>
          <w:kern w:val="0"/>
          <w:sz w:val="24"/>
        </w:rPr>
        <w:t>2.学院初评学院研究生奖学金评审委员会负责本院研究生国家奖学金的学生参评资格审核及初评工作，评审应充分尊重本学院学术组织、研究生导师的推荐意见。</w:t>
      </w:r>
    </w:p>
    <w:p>
      <w:pPr>
        <w:widowControl/>
        <w:spacing w:line="440" w:lineRule="exact"/>
        <w:ind w:firstLine="480" w:firstLineChars="200"/>
        <w:jc w:val="left"/>
        <w:rPr>
          <w:kern w:val="0"/>
          <w:sz w:val="24"/>
        </w:rPr>
      </w:pPr>
      <w:r>
        <w:rPr>
          <w:kern w:val="0"/>
          <w:sz w:val="24"/>
        </w:rPr>
        <w:t>3.学院公示</w:t>
      </w:r>
    </w:p>
    <w:p>
      <w:pPr>
        <w:widowControl/>
        <w:spacing w:line="440" w:lineRule="exact"/>
        <w:ind w:firstLine="480" w:firstLineChars="200"/>
        <w:jc w:val="left"/>
        <w:rPr>
          <w:kern w:val="0"/>
          <w:sz w:val="24"/>
        </w:rPr>
      </w:pPr>
      <w:r>
        <w:rPr>
          <w:kern w:val="0"/>
          <w:sz w:val="24"/>
        </w:rPr>
        <w:t>学院奖学金评审委员会确定本院拟推荐获奖学生名单后，应在本学院内进行不少于</w:t>
      </w:r>
      <w:r>
        <w:rPr>
          <w:rFonts w:hint="eastAsia"/>
          <w:kern w:val="0"/>
          <w:sz w:val="24"/>
        </w:rPr>
        <w:t>3</w:t>
      </w:r>
      <w:r>
        <w:rPr>
          <w:kern w:val="0"/>
          <w:sz w:val="24"/>
        </w:rPr>
        <w:t>个工作日的公示。</w:t>
      </w:r>
    </w:p>
    <w:p>
      <w:pPr>
        <w:widowControl/>
        <w:spacing w:line="440" w:lineRule="exact"/>
        <w:ind w:firstLine="480" w:firstLineChars="200"/>
        <w:jc w:val="left"/>
        <w:rPr>
          <w:kern w:val="0"/>
          <w:sz w:val="24"/>
        </w:rPr>
      </w:pPr>
      <w:r>
        <w:rPr>
          <w:rFonts w:hint="eastAsia"/>
          <w:kern w:val="0"/>
          <w:sz w:val="24"/>
        </w:rPr>
        <w:t>4.本细则自发布起施行，最终解释权归南京信息工程大学自动化学院党政联席会。</w:t>
      </w:r>
    </w:p>
    <w:p>
      <w:pPr>
        <w:widowControl/>
        <w:spacing w:line="440" w:lineRule="exact"/>
        <w:jc w:val="left"/>
        <w:rPr>
          <w:kern w:val="0"/>
          <w:sz w:val="24"/>
        </w:rPr>
      </w:pPr>
    </w:p>
    <w:p>
      <w:pPr>
        <w:widowControl/>
        <w:spacing w:line="440" w:lineRule="exact"/>
        <w:ind w:firstLine="480" w:firstLineChars="200"/>
        <w:jc w:val="left"/>
        <w:rPr>
          <w:kern w:val="0"/>
          <w:sz w:val="24"/>
        </w:rPr>
      </w:pP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 xml:space="preserve">                                  自动化学院</w:t>
      </w: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 xml:space="preserve">日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rPr>
                              <w:rStyle w:val="11"/>
                            </w:rPr>
                            <w:instrText xml:space="preserve"> PAGE  </w:instrText>
                          </w:r>
                          <w:r>
                            <w:fldChar w:fldCharType="separate"/>
                          </w:r>
                          <w:r>
                            <w:rPr>
                              <w:rStyle w:val="11"/>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fldChar w:fldCharType="begin"/>
                    </w:r>
                    <w:r>
                      <w:rPr>
                        <w:rStyle w:val="11"/>
                      </w:rPr>
                      <w:instrText xml:space="preserve"> PAGE  </w:instrText>
                    </w:r>
                    <w:r>
                      <w:fldChar w:fldCharType="separate"/>
                    </w:r>
                    <w:r>
                      <w:rPr>
                        <w:rStyle w:val="11"/>
                      </w:rP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0CA"/>
    <w:rsid w:val="00006D38"/>
    <w:rsid w:val="00022622"/>
    <w:rsid w:val="000263D0"/>
    <w:rsid w:val="00030D6F"/>
    <w:rsid w:val="00040EF2"/>
    <w:rsid w:val="00041042"/>
    <w:rsid w:val="0004160C"/>
    <w:rsid w:val="00046883"/>
    <w:rsid w:val="00055E1D"/>
    <w:rsid w:val="00071704"/>
    <w:rsid w:val="00091AC4"/>
    <w:rsid w:val="000A0B18"/>
    <w:rsid w:val="000A5AFB"/>
    <w:rsid w:val="000A70F8"/>
    <w:rsid w:val="000A769A"/>
    <w:rsid w:val="000B09AE"/>
    <w:rsid w:val="000B5033"/>
    <w:rsid w:val="000B5660"/>
    <w:rsid w:val="000E57A4"/>
    <w:rsid w:val="000E64A6"/>
    <w:rsid w:val="00107C99"/>
    <w:rsid w:val="00111CCA"/>
    <w:rsid w:val="00116C5E"/>
    <w:rsid w:val="00135562"/>
    <w:rsid w:val="001446F6"/>
    <w:rsid w:val="001618ED"/>
    <w:rsid w:val="00172A27"/>
    <w:rsid w:val="001741B1"/>
    <w:rsid w:val="001819F2"/>
    <w:rsid w:val="001869F3"/>
    <w:rsid w:val="00195348"/>
    <w:rsid w:val="001A104D"/>
    <w:rsid w:val="001A10B1"/>
    <w:rsid w:val="001A4329"/>
    <w:rsid w:val="001A6868"/>
    <w:rsid w:val="001B252A"/>
    <w:rsid w:val="001C55F0"/>
    <w:rsid w:val="001C605C"/>
    <w:rsid w:val="001E5379"/>
    <w:rsid w:val="001F2C2F"/>
    <w:rsid w:val="001F4054"/>
    <w:rsid w:val="002126F0"/>
    <w:rsid w:val="00215079"/>
    <w:rsid w:val="002212D5"/>
    <w:rsid w:val="00231D60"/>
    <w:rsid w:val="00236C36"/>
    <w:rsid w:val="00245E6C"/>
    <w:rsid w:val="00250668"/>
    <w:rsid w:val="00257DB7"/>
    <w:rsid w:val="00262BDB"/>
    <w:rsid w:val="00273116"/>
    <w:rsid w:val="002742CB"/>
    <w:rsid w:val="002752C2"/>
    <w:rsid w:val="00285934"/>
    <w:rsid w:val="002906E9"/>
    <w:rsid w:val="002950FB"/>
    <w:rsid w:val="002B44B2"/>
    <w:rsid w:val="002B690B"/>
    <w:rsid w:val="002B7DB1"/>
    <w:rsid w:val="002C2F60"/>
    <w:rsid w:val="002C4940"/>
    <w:rsid w:val="002C5BD1"/>
    <w:rsid w:val="002D1515"/>
    <w:rsid w:val="002D6CFA"/>
    <w:rsid w:val="002E2AC7"/>
    <w:rsid w:val="002E6F6B"/>
    <w:rsid w:val="0030241C"/>
    <w:rsid w:val="0031638E"/>
    <w:rsid w:val="00320F45"/>
    <w:rsid w:val="00322DF8"/>
    <w:rsid w:val="003320DD"/>
    <w:rsid w:val="00333EFE"/>
    <w:rsid w:val="0033665C"/>
    <w:rsid w:val="003374CA"/>
    <w:rsid w:val="003509F9"/>
    <w:rsid w:val="00353DC1"/>
    <w:rsid w:val="00356961"/>
    <w:rsid w:val="003633BD"/>
    <w:rsid w:val="0037275B"/>
    <w:rsid w:val="00376344"/>
    <w:rsid w:val="0038266F"/>
    <w:rsid w:val="0039548E"/>
    <w:rsid w:val="003A753D"/>
    <w:rsid w:val="003B2D58"/>
    <w:rsid w:val="003B543D"/>
    <w:rsid w:val="003D6335"/>
    <w:rsid w:val="00401A1D"/>
    <w:rsid w:val="00402F48"/>
    <w:rsid w:val="00404935"/>
    <w:rsid w:val="004059A5"/>
    <w:rsid w:val="00411AA6"/>
    <w:rsid w:val="00415D37"/>
    <w:rsid w:val="00416620"/>
    <w:rsid w:val="004265D3"/>
    <w:rsid w:val="00427DDF"/>
    <w:rsid w:val="004349FD"/>
    <w:rsid w:val="00437661"/>
    <w:rsid w:val="0044370A"/>
    <w:rsid w:val="00472317"/>
    <w:rsid w:val="0047286E"/>
    <w:rsid w:val="00472FA7"/>
    <w:rsid w:val="00487B9F"/>
    <w:rsid w:val="00496B33"/>
    <w:rsid w:val="004A10E0"/>
    <w:rsid w:val="004A4A37"/>
    <w:rsid w:val="004B08E3"/>
    <w:rsid w:val="004B1D36"/>
    <w:rsid w:val="004C0075"/>
    <w:rsid w:val="004C638E"/>
    <w:rsid w:val="004D4319"/>
    <w:rsid w:val="004E6118"/>
    <w:rsid w:val="004F1428"/>
    <w:rsid w:val="00503842"/>
    <w:rsid w:val="00504D9B"/>
    <w:rsid w:val="00522529"/>
    <w:rsid w:val="005230A9"/>
    <w:rsid w:val="0053413A"/>
    <w:rsid w:val="0055590F"/>
    <w:rsid w:val="00570ECB"/>
    <w:rsid w:val="00587174"/>
    <w:rsid w:val="005A037C"/>
    <w:rsid w:val="005A3A7C"/>
    <w:rsid w:val="005B74F8"/>
    <w:rsid w:val="005C4907"/>
    <w:rsid w:val="005C62C6"/>
    <w:rsid w:val="005E1F2F"/>
    <w:rsid w:val="005E6252"/>
    <w:rsid w:val="005F008C"/>
    <w:rsid w:val="005F2962"/>
    <w:rsid w:val="005F3C75"/>
    <w:rsid w:val="006026A3"/>
    <w:rsid w:val="00610D8D"/>
    <w:rsid w:val="006328AB"/>
    <w:rsid w:val="00632977"/>
    <w:rsid w:val="00646365"/>
    <w:rsid w:val="00646E7C"/>
    <w:rsid w:val="00650ED5"/>
    <w:rsid w:val="006633CF"/>
    <w:rsid w:val="0067247B"/>
    <w:rsid w:val="006807AF"/>
    <w:rsid w:val="00696E7B"/>
    <w:rsid w:val="006B1108"/>
    <w:rsid w:val="006D0F2A"/>
    <w:rsid w:val="006D4DAD"/>
    <w:rsid w:val="006D5484"/>
    <w:rsid w:val="006F2713"/>
    <w:rsid w:val="007014A1"/>
    <w:rsid w:val="007056C1"/>
    <w:rsid w:val="007058A2"/>
    <w:rsid w:val="00712877"/>
    <w:rsid w:val="0074078A"/>
    <w:rsid w:val="0074107E"/>
    <w:rsid w:val="007502BF"/>
    <w:rsid w:val="00754757"/>
    <w:rsid w:val="00754FDD"/>
    <w:rsid w:val="00761D59"/>
    <w:rsid w:val="0076630D"/>
    <w:rsid w:val="00773BD1"/>
    <w:rsid w:val="007741BD"/>
    <w:rsid w:val="0077539D"/>
    <w:rsid w:val="00792E2A"/>
    <w:rsid w:val="007932CD"/>
    <w:rsid w:val="00793BD0"/>
    <w:rsid w:val="007A0A0A"/>
    <w:rsid w:val="007C2C18"/>
    <w:rsid w:val="007C6556"/>
    <w:rsid w:val="007D71A3"/>
    <w:rsid w:val="007D73F6"/>
    <w:rsid w:val="007E3800"/>
    <w:rsid w:val="007F18A9"/>
    <w:rsid w:val="007F4403"/>
    <w:rsid w:val="00806972"/>
    <w:rsid w:val="00822CE5"/>
    <w:rsid w:val="00823B0D"/>
    <w:rsid w:val="00825E6C"/>
    <w:rsid w:val="00827834"/>
    <w:rsid w:val="00831792"/>
    <w:rsid w:val="00833F55"/>
    <w:rsid w:val="0084074D"/>
    <w:rsid w:val="00845560"/>
    <w:rsid w:val="00854264"/>
    <w:rsid w:val="008661FC"/>
    <w:rsid w:val="008845BB"/>
    <w:rsid w:val="00894BF3"/>
    <w:rsid w:val="008952EB"/>
    <w:rsid w:val="00896EBE"/>
    <w:rsid w:val="008A5FF8"/>
    <w:rsid w:val="008B3202"/>
    <w:rsid w:val="008C1705"/>
    <w:rsid w:val="008C53D2"/>
    <w:rsid w:val="008E18B7"/>
    <w:rsid w:val="008E5013"/>
    <w:rsid w:val="009026B3"/>
    <w:rsid w:val="009140F4"/>
    <w:rsid w:val="00930CAD"/>
    <w:rsid w:val="00944948"/>
    <w:rsid w:val="00944F87"/>
    <w:rsid w:val="00951120"/>
    <w:rsid w:val="00954693"/>
    <w:rsid w:val="00966274"/>
    <w:rsid w:val="00973260"/>
    <w:rsid w:val="0097773F"/>
    <w:rsid w:val="00981CAD"/>
    <w:rsid w:val="00983F6A"/>
    <w:rsid w:val="00997A94"/>
    <w:rsid w:val="009A63C3"/>
    <w:rsid w:val="009B1BB7"/>
    <w:rsid w:val="009B5A8D"/>
    <w:rsid w:val="009C5C0F"/>
    <w:rsid w:val="009C672F"/>
    <w:rsid w:val="009D0981"/>
    <w:rsid w:val="009D3FEB"/>
    <w:rsid w:val="009D5CDD"/>
    <w:rsid w:val="00A004E4"/>
    <w:rsid w:val="00A018A1"/>
    <w:rsid w:val="00A07E8C"/>
    <w:rsid w:val="00A158C2"/>
    <w:rsid w:val="00A172B0"/>
    <w:rsid w:val="00A212C2"/>
    <w:rsid w:val="00A50C65"/>
    <w:rsid w:val="00A60BE4"/>
    <w:rsid w:val="00A66BB3"/>
    <w:rsid w:val="00A9517E"/>
    <w:rsid w:val="00AA37DB"/>
    <w:rsid w:val="00AC5CD1"/>
    <w:rsid w:val="00AD6F84"/>
    <w:rsid w:val="00AD7FFA"/>
    <w:rsid w:val="00AE3357"/>
    <w:rsid w:val="00AF623B"/>
    <w:rsid w:val="00AF7AB0"/>
    <w:rsid w:val="00B03630"/>
    <w:rsid w:val="00B0445A"/>
    <w:rsid w:val="00B0551A"/>
    <w:rsid w:val="00B24BF1"/>
    <w:rsid w:val="00B32975"/>
    <w:rsid w:val="00B336FC"/>
    <w:rsid w:val="00B36396"/>
    <w:rsid w:val="00B45DC4"/>
    <w:rsid w:val="00B522E7"/>
    <w:rsid w:val="00B60125"/>
    <w:rsid w:val="00B6630C"/>
    <w:rsid w:val="00BA4B3F"/>
    <w:rsid w:val="00BA6BC5"/>
    <w:rsid w:val="00BB2AA8"/>
    <w:rsid w:val="00BB2F11"/>
    <w:rsid w:val="00BD5256"/>
    <w:rsid w:val="00BD5F22"/>
    <w:rsid w:val="00BD67CA"/>
    <w:rsid w:val="00BE6966"/>
    <w:rsid w:val="00BF4986"/>
    <w:rsid w:val="00BF54B1"/>
    <w:rsid w:val="00C02C6D"/>
    <w:rsid w:val="00C031A1"/>
    <w:rsid w:val="00C13021"/>
    <w:rsid w:val="00C2262D"/>
    <w:rsid w:val="00C302F5"/>
    <w:rsid w:val="00C32441"/>
    <w:rsid w:val="00C32EDD"/>
    <w:rsid w:val="00C40956"/>
    <w:rsid w:val="00C467D6"/>
    <w:rsid w:val="00C545E5"/>
    <w:rsid w:val="00C56271"/>
    <w:rsid w:val="00C57AE0"/>
    <w:rsid w:val="00C62CE7"/>
    <w:rsid w:val="00C6505E"/>
    <w:rsid w:val="00C72F12"/>
    <w:rsid w:val="00C76E42"/>
    <w:rsid w:val="00C90F52"/>
    <w:rsid w:val="00C94374"/>
    <w:rsid w:val="00CB5C6D"/>
    <w:rsid w:val="00CC0D04"/>
    <w:rsid w:val="00CC55DF"/>
    <w:rsid w:val="00CC7836"/>
    <w:rsid w:val="00CD1FA0"/>
    <w:rsid w:val="00CD4B8F"/>
    <w:rsid w:val="00CE72D5"/>
    <w:rsid w:val="00CF0101"/>
    <w:rsid w:val="00CF570C"/>
    <w:rsid w:val="00D011D9"/>
    <w:rsid w:val="00D04341"/>
    <w:rsid w:val="00D27674"/>
    <w:rsid w:val="00D40E10"/>
    <w:rsid w:val="00D43CF2"/>
    <w:rsid w:val="00D705BE"/>
    <w:rsid w:val="00D74674"/>
    <w:rsid w:val="00D74BCD"/>
    <w:rsid w:val="00D74C58"/>
    <w:rsid w:val="00D77BA1"/>
    <w:rsid w:val="00D80ED5"/>
    <w:rsid w:val="00D83AF8"/>
    <w:rsid w:val="00D931F9"/>
    <w:rsid w:val="00D93920"/>
    <w:rsid w:val="00DB3935"/>
    <w:rsid w:val="00E064E3"/>
    <w:rsid w:val="00E145A7"/>
    <w:rsid w:val="00E335D2"/>
    <w:rsid w:val="00E42C6D"/>
    <w:rsid w:val="00E46831"/>
    <w:rsid w:val="00E47222"/>
    <w:rsid w:val="00E521BD"/>
    <w:rsid w:val="00E645E3"/>
    <w:rsid w:val="00E6716C"/>
    <w:rsid w:val="00E72B3F"/>
    <w:rsid w:val="00E73B4D"/>
    <w:rsid w:val="00EA0055"/>
    <w:rsid w:val="00EB553B"/>
    <w:rsid w:val="00ED39D1"/>
    <w:rsid w:val="00EE29C1"/>
    <w:rsid w:val="00EE3796"/>
    <w:rsid w:val="00EE3DBC"/>
    <w:rsid w:val="00EE4BE8"/>
    <w:rsid w:val="00F0476C"/>
    <w:rsid w:val="00F0732C"/>
    <w:rsid w:val="00F15BAE"/>
    <w:rsid w:val="00F22ECC"/>
    <w:rsid w:val="00F23349"/>
    <w:rsid w:val="00F261A5"/>
    <w:rsid w:val="00F330F4"/>
    <w:rsid w:val="00F4203A"/>
    <w:rsid w:val="00F44DDD"/>
    <w:rsid w:val="00F72473"/>
    <w:rsid w:val="00F77D18"/>
    <w:rsid w:val="00F86153"/>
    <w:rsid w:val="00FA2A19"/>
    <w:rsid w:val="00FC2280"/>
    <w:rsid w:val="00FD4F4B"/>
    <w:rsid w:val="00FE3CBA"/>
    <w:rsid w:val="00FE67E7"/>
    <w:rsid w:val="00FF1BE5"/>
    <w:rsid w:val="012D2F0D"/>
    <w:rsid w:val="01AE60E1"/>
    <w:rsid w:val="01DA6622"/>
    <w:rsid w:val="02832A46"/>
    <w:rsid w:val="037F5912"/>
    <w:rsid w:val="03D76399"/>
    <w:rsid w:val="0423606D"/>
    <w:rsid w:val="05EA2DDC"/>
    <w:rsid w:val="05F212AA"/>
    <w:rsid w:val="06400CEB"/>
    <w:rsid w:val="07247F64"/>
    <w:rsid w:val="07705E84"/>
    <w:rsid w:val="08E65EEE"/>
    <w:rsid w:val="09B14828"/>
    <w:rsid w:val="0A513FF1"/>
    <w:rsid w:val="0B1A0D44"/>
    <w:rsid w:val="0BAC4B67"/>
    <w:rsid w:val="0C6E6976"/>
    <w:rsid w:val="0C991910"/>
    <w:rsid w:val="0CFA07B1"/>
    <w:rsid w:val="0D5F1A69"/>
    <w:rsid w:val="0E976EAA"/>
    <w:rsid w:val="0EC10F9F"/>
    <w:rsid w:val="0F35434B"/>
    <w:rsid w:val="10B41DFB"/>
    <w:rsid w:val="10C33623"/>
    <w:rsid w:val="10CE2976"/>
    <w:rsid w:val="11431381"/>
    <w:rsid w:val="11594D32"/>
    <w:rsid w:val="11903EEC"/>
    <w:rsid w:val="122F6A3D"/>
    <w:rsid w:val="12740286"/>
    <w:rsid w:val="12A52565"/>
    <w:rsid w:val="13C91695"/>
    <w:rsid w:val="147F4F53"/>
    <w:rsid w:val="152554A7"/>
    <w:rsid w:val="15E122C2"/>
    <w:rsid w:val="16A824C7"/>
    <w:rsid w:val="16A932FA"/>
    <w:rsid w:val="1702587B"/>
    <w:rsid w:val="171554CF"/>
    <w:rsid w:val="19DD37C0"/>
    <w:rsid w:val="1AB54AE9"/>
    <w:rsid w:val="1AD4541A"/>
    <w:rsid w:val="1B3810E1"/>
    <w:rsid w:val="1B38526F"/>
    <w:rsid w:val="1B54201E"/>
    <w:rsid w:val="1BE16522"/>
    <w:rsid w:val="1CAB2745"/>
    <w:rsid w:val="1CF41FD5"/>
    <w:rsid w:val="1D300778"/>
    <w:rsid w:val="1D5A46F2"/>
    <w:rsid w:val="1D894659"/>
    <w:rsid w:val="1EA140EC"/>
    <w:rsid w:val="20232D1B"/>
    <w:rsid w:val="206B7B00"/>
    <w:rsid w:val="21380A48"/>
    <w:rsid w:val="21FC5347"/>
    <w:rsid w:val="22AD63A1"/>
    <w:rsid w:val="232A632A"/>
    <w:rsid w:val="25B35CD2"/>
    <w:rsid w:val="267E57DF"/>
    <w:rsid w:val="27F64914"/>
    <w:rsid w:val="28476BD1"/>
    <w:rsid w:val="28883ED6"/>
    <w:rsid w:val="295B387C"/>
    <w:rsid w:val="2B026960"/>
    <w:rsid w:val="2B32128A"/>
    <w:rsid w:val="2B3450D3"/>
    <w:rsid w:val="2D045C82"/>
    <w:rsid w:val="2D554D9A"/>
    <w:rsid w:val="2E685F7E"/>
    <w:rsid w:val="2E982841"/>
    <w:rsid w:val="2F0F2326"/>
    <w:rsid w:val="2F7D3E2C"/>
    <w:rsid w:val="302E756E"/>
    <w:rsid w:val="305D7E6C"/>
    <w:rsid w:val="30913D0F"/>
    <w:rsid w:val="30F93D50"/>
    <w:rsid w:val="310B53AF"/>
    <w:rsid w:val="317113AB"/>
    <w:rsid w:val="31AB6559"/>
    <w:rsid w:val="31B90CEF"/>
    <w:rsid w:val="326E4D58"/>
    <w:rsid w:val="32AF1470"/>
    <w:rsid w:val="3374366D"/>
    <w:rsid w:val="33E45770"/>
    <w:rsid w:val="34337579"/>
    <w:rsid w:val="34353101"/>
    <w:rsid w:val="34AB23F6"/>
    <w:rsid w:val="34BA268D"/>
    <w:rsid w:val="34FB422A"/>
    <w:rsid w:val="35A8258F"/>
    <w:rsid w:val="35D929DB"/>
    <w:rsid w:val="36EA2BE6"/>
    <w:rsid w:val="371C7094"/>
    <w:rsid w:val="373B0B55"/>
    <w:rsid w:val="374E096D"/>
    <w:rsid w:val="37B05341"/>
    <w:rsid w:val="38DB7534"/>
    <w:rsid w:val="3A2C6E69"/>
    <w:rsid w:val="3A8278E8"/>
    <w:rsid w:val="3ACC7194"/>
    <w:rsid w:val="3BBD2B80"/>
    <w:rsid w:val="3C3F5B36"/>
    <w:rsid w:val="3C5B5A26"/>
    <w:rsid w:val="3CBA1D90"/>
    <w:rsid w:val="3CBE018B"/>
    <w:rsid w:val="3D415BA5"/>
    <w:rsid w:val="3D54685A"/>
    <w:rsid w:val="3DB83820"/>
    <w:rsid w:val="3DFF0EE7"/>
    <w:rsid w:val="404F4D2F"/>
    <w:rsid w:val="42017115"/>
    <w:rsid w:val="42160B8B"/>
    <w:rsid w:val="425F4F33"/>
    <w:rsid w:val="42B0448A"/>
    <w:rsid w:val="42D62D4D"/>
    <w:rsid w:val="43C84CE3"/>
    <w:rsid w:val="441808D6"/>
    <w:rsid w:val="444E5D97"/>
    <w:rsid w:val="44643FB4"/>
    <w:rsid w:val="44AA6638"/>
    <w:rsid w:val="44E80270"/>
    <w:rsid w:val="457355F4"/>
    <w:rsid w:val="45B06391"/>
    <w:rsid w:val="46F01098"/>
    <w:rsid w:val="48300104"/>
    <w:rsid w:val="486D43D9"/>
    <w:rsid w:val="492A7F49"/>
    <w:rsid w:val="49893322"/>
    <w:rsid w:val="49B368B2"/>
    <w:rsid w:val="4A2F159E"/>
    <w:rsid w:val="4A6170CE"/>
    <w:rsid w:val="4B9F4103"/>
    <w:rsid w:val="4C215F55"/>
    <w:rsid w:val="4C6D5BAA"/>
    <w:rsid w:val="4C743E0C"/>
    <w:rsid w:val="4D891C51"/>
    <w:rsid w:val="4E8A1F67"/>
    <w:rsid w:val="4F274C5B"/>
    <w:rsid w:val="4F410796"/>
    <w:rsid w:val="4FBE01E7"/>
    <w:rsid w:val="4FC35A46"/>
    <w:rsid w:val="4FD7573A"/>
    <w:rsid w:val="50BF00C7"/>
    <w:rsid w:val="51522B2C"/>
    <w:rsid w:val="51AF5EC2"/>
    <w:rsid w:val="51B61284"/>
    <w:rsid w:val="523A7B6D"/>
    <w:rsid w:val="53BB1614"/>
    <w:rsid w:val="53EF2A3A"/>
    <w:rsid w:val="549B4588"/>
    <w:rsid w:val="54AF1783"/>
    <w:rsid w:val="54FC3E8B"/>
    <w:rsid w:val="5561695D"/>
    <w:rsid w:val="55C03486"/>
    <w:rsid w:val="56AD75C7"/>
    <w:rsid w:val="572A53C2"/>
    <w:rsid w:val="574E36A9"/>
    <w:rsid w:val="577D4336"/>
    <w:rsid w:val="57E22560"/>
    <w:rsid w:val="5AC07A58"/>
    <w:rsid w:val="5B647F2F"/>
    <w:rsid w:val="5C756EDA"/>
    <w:rsid w:val="5CA75E12"/>
    <w:rsid w:val="5D7721BE"/>
    <w:rsid w:val="5E1C7453"/>
    <w:rsid w:val="5EA634F3"/>
    <w:rsid w:val="5EDA64FF"/>
    <w:rsid w:val="5F281161"/>
    <w:rsid w:val="5FF23266"/>
    <w:rsid w:val="60521420"/>
    <w:rsid w:val="611D71A8"/>
    <w:rsid w:val="63CF7078"/>
    <w:rsid w:val="64517F35"/>
    <w:rsid w:val="658B0373"/>
    <w:rsid w:val="65BA6BD9"/>
    <w:rsid w:val="66005CF9"/>
    <w:rsid w:val="667268FF"/>
    <w:rsid w:val="66B47638"/>
    <w:rsid w:val="67423A9B"/>
    <w:rsid w:val="674C475A"/>
    <w:rsid w:val="67A30F6E"/>
    <w:rsid w:val="67AE1337"/>
    <w:rsid w:val="67F07080"/>
    <w:rsid w:val="686C2BF5"/>
    <w:rsid w:val="688E7AD7"/>
    <w:rsid w:val="68CC366E"/>
    <w:rsid w:val="695D5311"/>
    <w:rsid w:val="6A1D2C17"/>
    <w:rsid w:val="6AE71247"/>
    <w:rsid w:val="6B3E1899"/>
    <w:rsid w:val="6CC539B7"/>
    <w:rsid w:val="6CF22B3C"/>
    <w:rsid w:val="6DBD08D9"/>
    <w:rsid w:val="6E246B12"/>
    <w:rsid w:val="6FAB246C"/>
    <w:rsid w:val="6FD93018"/>
    <w:rsid w:val="70016FD1"/>
    <w:rsid w:val="716670EB"/>
    <w:rsid w:val="72291B1E"/>
    <w:rsid w:val="74160601"/>
    <w:rsid w:val="7433706C"/>
    <w:rsid w:val="7518772E"/>
    <w:rsid w:val="75324707"/>
    <w:rsid w:val="753807BF"/>
    <w:rsid w:val="75E17EDC"/>
    <w:rsid w:val="762A5829"/>
    <w:rsid w:val="76585DCE"/>
    <w:rsid w:val="7665472B"/>
    <w:rsid w:val="76811852"/>
    <w:rsid w:val="76E170E8"/>
    <w:rsid w:val="7762080F"/>
    <w:rsid w:val="787332E8"/>
    <w:rsid w:val="78FB3D36"/>
    <w:rsid w:val="794E3ADA"/>
    <w:rsid w:val="7A1E752A"/>
    <w:rsid w:val="7AEE1BF1"/>
    <w:rsid w:val="7B7F56BF"/>
    <w:rsid w:val="7CA10CF9"/>
    <w:rsid w:val="7CB8289F"/>
    <w:rsid w:val="7D322305"/>
    <w:rsid w:val="7D6F50A2"/>
    <w:rsid w:val="7D883EBD"/>
    <w:rsid w:val="7F926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none"/>
    </w:rPr>
  </w:style>
  <w:style w:type="character" w:styleId="13">
    <w:name w:val="annotation reference"/>
    <w:basedOn w:val="10"/>
    <w:qFormat/>
    <w:uiPriority w:val="0"/>
    <w:rPr>
      <w:sz w:val="21"/>
      <w:szCs w:val="21"/>
    </w:rPr>
  </w:style>
  <w:style w:type="paragraph" w:customStyle="1" w:styleId="14">
    <w:name w:val="标题1"/>
    <w:basedOn w:val="1"/>
    <w:qFormat/>
    <w:uiPriority w:val="0"/>
    <w:pPr>
      <w:widowControl/>
      <w:spacing w:before="100" w:beforeAutospacing="1" w:after="100" w:afterAutospacing="1" w:line="375" w:lineRule="atLeast"/>
      <w:jc w:val="left"/>
    </w:pPr>
    <w:rPr>
      <w:rFonts w:ascii="宋体" w:hAnsi="宋体" w:cs="宋体"/>
      <w:kern w:val="0"/>
      <w:sz w:val="24"/>
    </w:rPr>
  </w:style>
  <w:style w:type="paragraph" w:customStyle="1" w:styleId="15">
    <w:name w:val="pp"/>
    <w:basedOn w:val="1"/>
    <w:qFormat/>
    <w:uiPriority w:val="0"/>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16">
    <w:name w:val="systemname"/>
    <w:basedOn w:val="10"/>
    <w:qFormat/>
    <w:uiPriority w:val="0"/>
    <w:rPr>
      <w:color w:val="FF9900"/>
    </w:rPr>
  </w:style>
  <w:style w:type="character" w:customStyle="1" w:styleId="17">
    <w:name w:val="mastername"/>
    <w:basedOn w:val="10"/>
    <w:qFormat/>
    <w:uiPriority w:val="0"/>
    <w:rPr>
      <w:color w:val="0033C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BE3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3738</Words>
  <Characters>3976</Characters>
  <Lines>31</Lines>
  <Paragraphs>8</Paragraphs>
  <TotalTime>3</TotalTime>
  <ScaleCrop>false</ScaleCrop>
  <LinksUpToDate>false</LinksUpToDate>
  <CharactersWithSpaces>4192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2016-03-18T07:18:00Z</dcterms:created>
  <dc:creator>Lenovo User</dc:creator>
  <cp:lastModifiedBy>马玲</cp:lastModifiedBy>
  <cp:lastPrinted>2021-09-02T06:55:00Z</cp:lastPrinted>
  <dcterms:modified xsi:type="dcterms:W3CDTF">2023-03-26T00:57:24Z</dcterms:modified>
  <dc:title>关于评审2010年国家奖学金、国家励志奖学金和国家助学金的通知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880AEAE232C54E2BA4B77DAB74159AE8</vt:lpwstr>
  </property>
</Properties>
</file>