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19CB4">
      <w:pPr>
        <w:pStyle w:val="15"/>
        <w:snapToGrid w:val="0"/>
        <w:spacing w:line="560" w:lineRule="exact"/>
        <w:ind w:firstLine="0"/>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推免加分细则</w:t>
      </w:r>
    </w:p>
    <w:p w14:paraId="3F1A4172">
      <w:pPr>
        <w:adjustRightInd w:val="0"/>
        <w:snapToGrid w:val="0"/>
        <w:spacing w:line="560" w:lineRule="exact"/>
        <w:ind w:firstLine="640" w:firstLineChars="200"/>
        <w:rPr>
          <w:rFonts w:ascii="Times New Roman" w:hAnsi="Times New Roman" w:eastAsia="仿宋_GB2312" w:cs="Times New Roman"/>
          <w:color w:val="000000"/>
          <w:sz w:val="32"/>
          <w:szCs w:val="32"/>
        </w:rPr>
      </w:pPr>
      <w:bookmarkStart w:id="5" w:name="_GoBack"/>
      <w:bookmarkEnd w:id="5"/>
      <w:r>
        <w:rPr>
          <w:rFonts w:ascii="Times New Roman" w:hAnsi="Times New Roman" w:eastAsia="仿宋_GB2312" w:cs="Times New Roman"/>
          <w:color w:val="000000"/>
          <w:sz w:val="32"/>
          <w:szCs w:val="32"/>
        </w:rPr>
        <w:t>学生在本科阶段获得下列八个方面成果或荣誉，</w:t>
      </w:r>
      <w:r>
        <w:rPr>
          <w:rFonts w:hint="eastAsia" w:ascii="Times New Roman" w:hAnsi="Times New Roman" w:eastAsia="仿宋_GB2312" w:cs="Times New Roman"/>
          <w:color w:val="000000"/>
          <w:sz w:val="32"/>
          <w:szCs w:val="32"/>
        </w:rPr>
        <w:t>可以申请</w:t>
      </w:r>
      <w:r>
        <w:rPr>
          <w:rFonts w:ascii="Times New Roman" w:hAnsi="Times New Roman" w:eastAsia="仿宋_GB2312" w:cs="Times New Roman"/>
          <w:color w:val="000000"/>
          <w:sz w:val="32"/>
          <w:szCs w:val="32"/>
        </w:rPr>
        <w:t>推免加分。学生在某一方面成果中有多项加分情况时，原则上只取一项最高分。各项成果</w:t>
      </w:r>
      <w:r>
        <w:rPr>
          <w:rFonts w:hint="eastAsia" w:ascii="Times New Roman" w:hAnsi="Times New Roman" w:eastAsia="仿宋_GB2312" w:cs="Times New Roman"/>
          <w:color w:val="000000"/>
          <w:sz w:val="32"/>
          <w:szCs w:val="32"/>
        </w:rPr>
        <w:t>或</w:t>
      </w:r>
      <w:r>
        <w:rPr>
          <w:rFonts w:ascii="Times New Roman" w:hAnsi="Times New Roman" w:eastAsia="仿宋_GB2312" w:cs="Times New Roman"/>
          <w:color w:val="000000"/>
          <w:sz w:val="32"/>
          <w:szCs w:val="32"/>
        </w:rPr>
        <w:t>荣誉获得时间截止至推免当年的8月31日。</w:t>
      </w:r>
      <w:r>
        <w:rPr>
          <w:rFonts w:hint="eastAsia" w:ascii="Times New Roman" w:hAnsi="Times New Roman" w:eastAsia="仿宋_GB2312" w:cs="Times New Roman"/>
          <w:color w:val="000000"/>
          <w:sz w:val="32"/>
          <w:szCs w:val="32"/>
        </w:rPr>
        <w:t>本加分细则除有特别说明外，均自2</w:t>
      </w:r>
      <w:r>
        <w:rPr>
          <w:rFonts w:ascii="Times New Roman" w:hAnsi="Times New Roman" w:eastAsia="仿宋_GB2312" w:cs="Times New Roman"/>
          <w:color w:val="000000"/>
          <w:sz w:val="32"/>
          <w:szCs w:val="32"/>
        </w:rPr>
        <w:t>022</w:t>
      </w:r>
      <w:r>
        <w:rPr>
          <w:rFonts w:hint="eastAsia" w:ascii="Times New Roman" w:hAnsi="Times New Roman" w:eastAsia="仿宋_GB2312" w:cs="Times New Roman"/>
          <w:color w:val="000000"/>
          <w:sz w:val="32"/>
          <w:szCs w:val="32"/>
        </w:rPr>
        <w:t>级学生起开始施行。</w:t>
      </w:r>
    </w:p>
    <w:p w14:paraId="6D4D8B5A">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1．论文加分</w:t>
      </w:r>
    </w:p>
    <w:tbl>
      <w:tblPr>
        <w:tblStyle w:val="7"/>
        <w:tblW w:w="4998" w:type="pct"/>
        <w:jc w:val="center"/>
        <w:tblLayout w:type="autofit"/>
        <w:tblCellMar>
          <w:top w:w="0" w:type="dxa"/>
          <w:left w:w="108" w:type="dxa"/>
          <w:bottom w:w="0" w:type="dxa"/>
          <w:right w:w="108" w:type="dxa"/>
        </w:tblCellMar>
      </w:tblPr>
      <w:tblGrid>
        <w:gridCol w:w="743"/>
        <w:gridCol w:w="5789"/>
        <w:gridCol w:w="1157"/>
        <w:gridCol w:w="830"/>
      </w:tblGrid>
      <w:tr w14:paraId="782206B5">
        <w:tblPrEx>
          <w:tblCellMar>
            <w:top w:w="0" w:type="dxa"/>
            <w:left w:w="108" w:type="dxa"/>
            <w:bottom w:w="0" w:type="dxa"/>
            <w:right w:w="108" w:type="dxa"/>
          </w:tblCellMar>
        </w:tblPrEx>
        <w:trPr>
          <w:trHeight w:val="363" w:hRule="atLeast"/>
          <w:jc w:val="center"/>
        </w:trPr>
        <w:tc>
          <w:tcPr>
            <w:tcW w:w="436" w:type="pct"/>
            <w:tcBorders>
              <w:top w:val="single" w:color="auto" w:sz="4" w:space="0"/>
              <w:left w:val="single" w:color="auto" w:sz="4" w:space="0"/>
              <w:bottom w:val="single" w:color="auto" w:sz="4" w:space="0"/>
              <w:right w:val="single" w:color="auto" w:sz="4" w:space="0"/>
            </w:tcBorders>
            <w:vAlign w:val="center"/>
          </w:tcPr>
          <w:p w14:paraId="52E7ECD6">
            <w:pPr>
              <w:widowControl/>
              <w:spacing w:before="100" w:beforeAutospacing="1" w:after="100" w:afterAutospacing="1"/>
              <w:jc w:val="center"/>
              <w:rPr>
                <w:rFonts w:ascii="Times New Roman" w:hAnsi="Times New Roman" w:eastAsia="仿宋_GB2312" w:cs="Times New Roman"/>
                <w:kern w:val="0"/>
                <w:szCs w:val="21"/>
              </w:rPr>
            </w:pPr>
            <w:bookmarkStart w:id="0" w:name="_Hlk148083419"/>
            <w:r>
              <w:rPr>
                <w:rFonts w:ascii="Times New Roman" w:hAnsi="Times New Roman" w:eastAsia="仿宋_GB2312" w:cs="Times New Roman"/>
                <w:kern w:val="0"/>
                <w:szCs w:val="21"/>
              </w:rPr>
              <w:t>等级</w:t>
            </w:r>
          </w:p>
        </w:tc>
        <w:tc>
          <w:tcPr>
            <w:tcW w:w="3397" w:type="pct"/>
            <w:tcBorders>
              <w:top w:val="single" w:color="auto" w:sz="4" w:space="0"/>
              <w:left w:val="single" w:color="auto" w:sz="4" w:space="0"/>
              <w:bottom w:val="single" w:color="auto" w:sz="4" w:space="0"/>
              <w:right w:val="single" w:color="auto" w:sz="4" w:space="0"/>
            </w:tcBorders>
            <w:shd w:val="clear" w:color="auto" w:fill="auto"/>
            <w:vAlign w:val="center"/>
          </w:tcPr>
          <w:p w14:paraId="2675B25F">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期刊分类</w:t>
            </w:r>
          </w:p>
        </w:tc>
        <w:tc>
          <w:tcPr>
            <w:tcW w:w="679" w:type="pct"/>
            <w:tcBorders>
              <w:top w:val="single" w:color="auto" w:sz="4" w:space="0"/>
              <w:left w:val="nil"/>
              <w:bottom w:val="single" w:color="auto" w:sz="4" w:space="0"/>
              <w:right w:val="single" w:color="auto" w:sz="4" w:space="0"/>
            </w:tcBorders>
            <w:shd w:val="clear" w:color="auto" w:fill="auto"/>
            <w:vAlign w:val="center"/>
          </w:tcPr>
          <w:p w14:paraId="0C48BE2E">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类别</w:t>
            </w:r>
          </w:p>
        </w:tc>
        <w:tc>
          <w:tcPr>
            <w:tcW w:w="487" w:type="pct"/>
            <w:tcBorders>
              <w:top w:val="single" w:color="auto" w:sz="4" w:space="0"/>
              <w:left w:val="nil"/>
              <w:bottom w:val="single" w:color="auto" w:sz="4" w:space="0"/>
              <w:right w:val="single" w:color="auto" w:sz="4" w:space="0"/>
            </w:tcBorders>
          </w:tcPr>
          <w:p w14:paraId="5DB4B21E">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分值</w:t>
            </w:r>
          </w:p>
        </w:tc>
      </w:tr>
      <w:tr w14:paraId="68C97438">
        <w:tblPrEx>
          <w:tblCellMar>
            <w:top w:w="0" w:type="dxa"/>
            <w:left w:w="108" w:type="dxa"/>
            <w:bottom w:w="0" w:type="dxa"/>
            <w:right w:w="108" w:type="dxa"/>
          </w:tblCellMar>
        </w:tblPrEx>
        <w:trPr>
          <w:trHeight w:val="363" w:hRule="atLeast"/>
          <w:jc w:val="center"/>
        </w:trPr>
        <w:tc>
          <w:tcPr>
            <w:tcW w:w="436" w:type="pct"/>
            <w:vMerge w:val="restart"/>
            <w:tcBorders>
              <w:top w:val="nil"/>
              <w:left w:val="single" w:color="auto" w:sz="4" w:space="0"/>
              <w:right w:val="single" w:color="auto" w:sz="4" w:space="0"/>
            </w:tcBorders>
            <w:vAlign w:val="center"/>
          </w:tcPr>
          <w:p w14:paraId="4C68377A">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第一等级</w:t>
            </w:r>
          </w:p>
        </w:tc>
        <w:tc>
          <w:tcPr>
            <w:tcW w:w="3397" w:type="pct"/>
            <w:tcBorders>
              <w:top w:val="nil"/>
              <w:left w:val="single" w:color="auto" w:sz="4" w:space="0"/>
              <w:bottom w:val="single" w:color="auto" w:sz="4" w:space="0"/>
              <w:right w:val="single" w:color="auto" w:sz="4" w:space="0"/>
            </w:tcBorders>
            <w:shd w:val="clear" w:color="auto" w:fill="auto"/>
            <w:vAlign w:val="center"/>
          </w:tcPr>
          <w:p w14:paraId="5525288C">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三高期刊库特级期刊</w:t>
            </w:r>
          </w:p>
        </w:tc>
        <w:tc>
          <w:tcPr>
            <w:tcW w:w="679" w:type="pct"/>
            <w:vMerge w:val="restart"/>
            <w:tcBorders>
              <w:top w:val="nil"/>
              <w:left w:val="nil"/>
              <w:right w:val="single" w:color="auto" w:sz="4" w:space="0"/>
            </w:tcBorders>
            <w:shd w:val="clear" w:color="auto" w:fill="auto"/>
            <w:vAlign w:val="center"/>
          </w:tcPr>
          <w:p w14:paraId="0D916BEA">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理工科</w:t>
            </w:r>
          </w:p>
        </w:tc>
        <w:tc>
          <w:tcPr>
            <w:tcW w:w="487" w:type="pct"/>
            <w:vMerge w:val="restart"/>
            <w:tcBorders>
              <w:top w:val="nil"/>
              <w:left w:val="nil"/>
              <w:right w:val="single" w:color="auto" w:sz="4" w:space="0"/>
            </w:tcBorders>
            <w:vAlign w:val="center"/>
          </w:tcPr>
          <w:p w14:paraId="1EE5967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r>
      <w:tr w14:paraId="5C66247A">
        <w:tblPrEx>
          <w:tblCellMar>
            <w:top w:w="0" w:type="dxa"/>
            <w:left w:w="108" w:type="dxa"/>
            <w:bottom w:w="0" w:type="dxa"/>
            <w:right w:w="108" w:type="dxa"/>
          </w:tblCellMar>
        </w:tblPrEx>
        <w:trPr>
          <w:trHeight w:val="363" w:hRule="atLeast"/>
          <w:jc w:val="center"/>
        </w:trPr>
        <w:tc>
          <w:tcPr>
            <w:tcW w:w="436" w:type="pct"/>
            <w:vMerge w:val="continue"/>
            <w:tcBorders>
              <w:left w:val="single" w:color="auto" w:sz="4" w:space="0"/>
              <w:right w:val="single" w:color="auto" w:sz="4" w:space="0"/>
            </w:tcBorders>
            <w:vAlign w:val="center"/>
          </w:tcPr>
          <w:p w14:paraId="137C7C43">
            <w:pPr>
              <w:widowControl/>
              <w:spacing w:before="100" w:beforeAutospacing="1" w:after="100" w:afterAutospacing="1"/>
              <w:jc w:val="center"/>
              <w:rPr>
                <w:rFonts w:ascii="Times New Roman" w:hAnsi="Times New Roman" w:eastAsia="仿宋_GB2312" w:cs="Times New Roman"/>
                <w:kern w:val="0"/>
                <w:szCs w:val="21"/>
              </w:rPr>
            </w:pPr>
          </w:p>
        </w:tc>
        <w:tc>
          <w:tcPr>
            <w:tcW w:w="3397" w:type="pct"/>
            <w:tcBorders>
              <w:top w:val="nil"/>
              <w:left w:val="single" w:color="auto" w:sz="4" w:space="0"/>
              <w:bottom w:val="single" w:color="auto" w:sz="4" w:space="0"/>
              <w:right w:val="single" w:color="auto" w:sz="4" w:space="0"/>
            </w:tcBorders>
            <w:shd w:val="clear" w:color="auto" w:fill="auto"/>
            <w:vAlign w:val="center"/>
          </w:tcPr>
          <w:p w14:paraId="29B7C9BE">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Nature子刊、Science子刊（影响因子≥10），PNAS,NSR</w:t>
            </w:r>
          </w:p>
        </w:tc>
        <w:tc>
          <w:tcPr>
            <w:tcW w:w="679" w:type="pct"/>
            <w:vMerge w:val="continue"/>
            <w:tcBorders>
              <w:left w:val="nil"/>
              <w:bottom w:val="single" w:color="auto" w:sz="4" w:space="0"/>
              <w:right w:val="single" w:color="auto" w:sz="4" w:space="0"/>
            </w:tcBorders>
            <w:shd w:val="clear" w:color="auto" w:fill="auto"/>
            <w:vAlign w:val="center"/>
          </w:tcPr>
          <w:p w14:paraId="0AC348BB">
            <w:pPr>
              <w:widowControl/>
              <w:spacing w:before="100" w:beforeAutospacing="1" w:after="100" w:afterAutospacing="1"/>
              <w:jc w:val="center"/>
              <w:rPr>
                <w:rFonts w:ascii="Times New Roman" w:hAnsi="Times New Roman" w:eastAsia="仿宋_GB2312" w:cs="Times New Roman"/>
                <w:kern w:val="0"/>
                <w:szCs w:val="21"/>
              </w:rPr>
            </w:pPr>
          </w:p>
        </w:tc>
        <w:tc>
          <w:tcPr>
            <w:tcW w:w="487" w:type="pct"/>
            <w:vMerge w:val="continue"/>
            <w:tcBorders>
              <w:left w:val="nil"/>
              <w:right w:val="single" w:color="auto" w:sz="4" w:space="0"/>
            </w:tcBorders>
            <w:vAlign w:val="center"/>
          </w:tcPr>
          <w:p w14:paraId="00C9E516">
            <w:pPr>
              <w:widowControl/>
              <w:spacing w:before="100" w:beforeAutospacing="1" w:after="100" w:afterAutospacing="1"/>
              <w:jc w:val="center"/>
              <w:rPr>
                <w:rFonts w:ascii="Times New Roman" w:hAnsi="Times New Roman" w:eastAsia="仿宋_GB2312" w:cs="Times New Roman"/>
                <w:kern w:val="0"/>
                <w:szCs w:val="21"/>
              </w:rPr>
            </w:pPr>
          </w:p>
        </w:tc>
      </w:tr>
      <w:tr w14:paraId="15D11218">
        <w:tblPrEx>
          <w:tblCellMar>
            <w:top w:w="0" w:type="dxa"/>
            <w:left w:w="108" w:type="dxa"/>
            <w:bottom w:w="0" w:type="dxa"/>
            <w:right w:w="108" w:type="dxa"/>
          </w:tblCellMar>
        </w:tblPrEx>
        <w:trPr>
          <w:trHeight w:val="363" w:hRule="atLeast"/>
          <w:jc w:val="center"/>
        </w:trPr>
        <w:tc>
          <w:tcPr>
            <w:tcW w:w="436" w:type="pct"/>
            <w:vMerge w:val="continue"/>
            <w:tcBorders>
              <w:left w:val="single" w:color="auto" w:sz="4" w:space="0"/>
              <w:bottom w:val="single" w:color="auto" w:sz="4" w:space="0"/>
              <w:right w:val="single" w:color="auto" w:sz="4" w:space="0"/>
            </w:tcBorders>
            <w:vAlign w:val="center"/>
          </w:tcPr>
          <w:p w14:paraId="559251F5">
            <w:pPr>
              <w:widowControl/>
              <w:spacing w:before="100" w:beforeAutospacing="1" w:after="100" w:afterAutospacing="1"/>
              <w:jc w:val="center"/>
              <w:rPr>
                <w:rFonts w:ascii="Times New Roman" w:hAnsi="Times New Roman" w:eastAsia="仿宋_GB2312" w:cs="Times New Roman"/>
                <w:kern w:val="0"/>
                <w:szCs w:val="21"/>
              </w:rPr>
            </w:pPr>
          </w:p>
        </w:tc>
        <w:tc>
          <w:tcPr>
            <w:tcW w:w="3397" w:type="pct"/>
            <w:tcBorders>
              <w:top w:val="nil"/>
              <w:left w:val="single" w:color="auto" w:sz="4" w:space="0"/>
              <w:bottom w:val="single" w:color="auto" w:sz="4" w:space="0"/>
              <w:right w:val="single" w:color="auto" w:sz="4" w:space="0"/>
            </w:tcBorders>
            <w:shd w:val="clear" w:color="auto" w:fill="auto"/>
            <w:vAlign w:val="center"/>
          </w:tcPr>
          <w:p w14:paraId="695F100C">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中国社会科学</w:t>
            </w:r>
          </w:p>
        </w:tc>
        <w:tc>
          <w:tcPr>
            <w:tcW w:w="679" w:type="pct"/>
            <w:tcBorders>
              <w:top w:val="single" w:color="auto" w:sz="4" w:space="0"/>
              <w:left w:val="nil"/>
              <w:bottom w:val="single" w:color="auto" w:sz="4" w:space="0"/>
              <w:right w:val="single" w:color="auto" w:sz="4" w:space="0"/>
            </w:tcBorders>
            <w:shd w:val="clear" w:color="auto" w:fill="auto"/>
            <w:vAlign w:val="center"/>
          </w:tcPr>
          <w:p w14:paraId="7EF799B6">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文科</w:t>
            </w:r>
          </w:p>
        </w:tc>
        <w:tc>
          <w:tcPr>
            <w:tcW w:w="487" w:type="pct"/>
            <w:vMerge w:val="continue"/>
            <w:tcBorders>
              <w:left w:val="nil"/>
              <w:bottom w:val="single" w:color="auto" w:sz="4" w:space="0"/>
              <w:right w:val="single" w:color="auto" w:sz="4" w:space="0"/>
            </w:tcBorders>
            <w:vAlign w:val="center"/>
          </w:tcPr>
          <w:p w14:paraId="7BD0D6E5">
            <w:pPr>
              <w:widowControl/>
              <w:spacing w:before="100" w:beforeAutospacing="1" w:after="100" w:afterAutospacing="1"/>
              <w:rPr>
                <w:rFonts w:ascii="Times New Roman" w:hAnsi="Times New Roman" w:eastAsia="仿宋_GB2312" w:cs="Times New Roman"/>
                <w:kern w:val="0"/>
                <w:szCs w:val="21"/>
              </w:rPr>
            </w:pPr>
          </w:p>
        </w:tc>
      </w:tr>
      <w:tr w14:paraId="67DDA182">
        <w:tblPrEx>
          <w:tblCellMar>
            <w:top w:w="0" w:type="dxa"/>
            <w:left w:w="108" w:type="dxa"/>
            <w:bottom w:w="0" w:type="dxa"/>
            <w:right w:w="108" w:type="dxa"/>
          </w:tblCellMar>
        </w:tblPrEx>
        <w:trPr>
          <w:trHeight w:val="363" w:hRule="atLeast"/>
          <w:jc w:val="center"/>
        </w:trPr>
        <w:tc>
          <w:tcPr>
            <w:tcW w:w="436" w:type="pct"/>
            <w:vMerge w:val="restart"/>
            <w:tcBorders>
              <w:top w:val="nil"/>
              <w:left w:val="single" w:color="auto" w:sz="4" w:space="0"/>
              <w:right w:val="single" w:color="auto" w:sz="4" w:space="0"/>
            </w:tcBorders>
            <w:vAlign w:val="center"/>
          </w:tcPr>
          <w:p w14:paraId="10AFE2C9">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第二等级</w:t>
            </w:r>
          </w:p>
        </w:tc>
        <w:tc>
          <w:tcPr>
            <w:tcW w:w="3397" w:type="pct"/>
            <w:tcBorders>
              <w:top w:val="nil"/>
              <w:left w:val="single" w:color="auto" w:sz="4" w:space="0"/>
              <w:bottom w:val="single" w:color="auto" w:sz="4" w:space="0"/>
              <w:right w:val="single" w:color="auto" w:sz="4" w:space="0"/>
            </w:tcBorders>
            <w:shd w:val="clear" w:color="auto" w:fill="auto"/>
            <w:vAlign w:val="center"/>
          </w:tcPr>
          <w:p w14:paraId="469BF81C">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SCI（E）一区、三高期刊库T1、NI期刊、卓越期刊（领军、重点）</w:t>
            </w:r>
          </w:p>
        </w:tc>
        <w:tc>
          <w:tcPr>
            <w:tcW w:w="679" w:type="pct"/>
            <w:tcBorders>
              <w:top w:val="nil"/>
              <w:left w:val="nil"/>
              <w:bottom w:val="single" w:color="auto" w:sz="4" w:space="0"/>
              <w:right w:val="single" w:color="auto" w:sz="4" w:space="0"/>
            </w:tcBorders>
            <w:shd w:val="clear" w:color="auto" w:fill="auto"/>
            <w:vAlign w:val="center"/>
          </w:tcPr>
          <w:p w14:paraId="688A21C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理工科</w:t>
            </w:r>
          </w:p>
        </w:tc>
        <w:tc>
          <w:tcPr>
            <w:tcW w:w="487" w:type="pct"/>
            <w:vMerge w:val="restart"/>
            <w:tcBorders>
              <w:top w:val="nil"/>
              <w:left w:val="nil"/>
              <w:right w:val="single" w:color="auto" w:sz="4" w:space="0"/>
            </w:tcBorders>
            <w:vAlign w:val="center"/>
          </w:tcPr>
          <w:p w14:paraId="163E1CA5">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14:paraId="3F0BCAF6">
        <w:tblPrEx>
          <w:tblCellMar>
            <w:top w:w="0" w:type="dxa"/>
            <w:left w:w="108" w:type="dxa"/>
            <w:bottom w:w="0" w:type="dxa"/>
            <w:right w:w="108" w:type="dxa"/>
          </w:tblCellMar>
        </w:tblPrEx>
        <w:trPr>
          <w:trHeight w:val="363" w:hRule="atLeast"/>
          <w:jc w:val="center"/>
        </w:trPr>
        <w:tc>
          <w:tcPr>
            <w:tcW w:w="436" w:type="pct"/>
            <w:vMerge w:val="continue"/>
            <w:tcBorders>
              <w:left w:val="single" w:color="auto" w:sz="4" w:space="0"/>
              <w:bottom w:val="single" w:color="auto" w:sz="4" w:space="0"/>
              <w:right w:val="single" w:color="auto" w:sz="4" w:space="0"/>
            </w:tcBorders>
            <w:vAlign w:val="center"/>
          </w:tcPr>
          <w:p w14:paraId="3C89E194">
            <w:pPr>
              <w:widowControl/>
              <w:spacing w:before="100" w:beforeAutospacing="1" w:after="100" w:afterAutospacing="1"/>
              <w:jc w:val="center"/>
              <w:rPr>
                <w:rFonts w:ascii="Times New Roman" w:hAnsi="Times New Roman" w:eastAsia="仿宋_GB2312" w:cs="Times New Roman"/>
                <w:kern w:val="0"/>
                <w:szCs w:val="21"/>
              </w:rPr>
            </w:pPr>
          </w:p>
        </w:tc>
        <w:tc>
          <w:tcPr>
            <w:tcW w:w="3397" w:type="pct"/>
            <w:tcBorders>
              <w:top w:val="single" w:color="auto" w:sz="4" w:space="0"/>
              <w:left w:val="single" w:color="auto" w:sz="4" w:space="0"/>
              <w:bottom w:val="single" w:color="auto" w:sz="4" w:space="0"/>
              <w:right w:val="single" w:color="auto" w:sz="4" w:space="0"/>
            </w:tcBorders>
            <w:shd w:val="clear" w:color="auto" w:fill="auto"/>
            <w:vAlign w:val="center"/>
          </w:tcPr>
          <w:p w14:paraId="109FAD15">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学科最高权威/SSCI一区</w:t>
            </w:r>
          </w:p>
        </w:tc>
        <w:tc>
          <w:tcPr>
            <w:tcW w:w="679" w:type="pct"/>
            <w:tcBorders>
              <w:top w:val="single" w:color="auto" w:sz="4" w:space="0"/>
              <w:left w:val="nil"/>
              <w:bottom w:val="single" w:color="auto" w:sz="4" w:space="0"/>
              <w:right w:val="single" w:color="auto" w:sz="4" w:space="0"/>
            </w:tcBorders>
            <w:shd w:val="clear" w:color="auto" w:fill="auto"/>
            <w:vAlign w:val="center"/>
          </w:tcPr>
          <w:p w14:paraId="58BFA896">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文科</w:t>
            </w:r>
          </w:p>
        </w:tc>
        <w:tc>
          <w:tcPr>
            <w:tcW w:w="487" w:type="pct"/>
            <w:vMerge w:val="continue"/>
            <w:tcBorders>
              <w:left w:val="nil"/>
              <w:bottom w:val="single" w:color="auto" w:sz="4" w:space="0"/>
              <w:right w:val="single" w:color="auto" w:sz="4" w:space="0"/>
            </w:tcBorders>
            <w:vAlign w:val="center"/>
          </w:tcPr>
          <w:p w14:paraId="4BB377E8">
            <w:pPr>
              <w:widowControl/>
              <w:spacing w:before="100" w:beforeAutospacing="1" w:after="100" w:afterAutospacing="1"/>
              <w:rPr>
                <w:rFonts w:ascii="Times New Roman" w:hAnsi="Times New Roman" w:eastAsia="仿宋_GB2312" w:cs="Times New Roman"/>
                <w:kern w:val="0"/>
                <w:szCs w:val="21"/>
              </w:rPr>
            </w:pPr>
          </w:p>
        </w:tc>
      </w:tr>
      <w:tr w14:paraId="6D595562">
        <w:tblPrEx>
          <w:tblCellMar>
            <w:top w:w="0" w:type="dxa"/>
            <w:left w:w="108" w:type="dxa"/>
            <w:bottom w:w="0" w:type="dxa"/>
            <w:right w:w="108" w:type="dxa"/>
          </w:tblCellMar>
        </w:tblPrEx>
        <w:trPr>
          <w:trHeight w:val="363" w:hRule="atLeast"/>
          <w:jc w:val="center"/>
        </w:trPr>
        <w:tc>
          <w:tcPr>
            <w:tcW w:w="436" w:type="pct"/>
            <w:vMerge w:val="restart"/>
            <w:tcBorders>
              <w:top w:val="nil"/>
              <w:left w:val="single" w:color="auto" w:sz="4" w:space="0"/>
              <w:right w:val="single" w:color="auto" w:sz="4" w:space="0"/>
            </w:tcBorders>
            <w:vAlign w:val="center"/>
          </w:tcPr>
          <w:p w14:paraId="42760460">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第三等级</w:t>
            </w:r>
          </w:p>
        </w:tc>
        <w:tc>
          <w:tcPr>
            <w:tcW w:w="3397" w:type="pct"/>
            <w:tcBorders>
              <w:top w:val="nil"/>
              <w:left w:val="single" w:color="auto" w:sz="4" w:space="0"/>
              <w:bottom w:val="single" w:color="auto" w:sz="4" w:space="0"/>
              <w:right w:val="single" w:color="auto" w:sz="4" w:space="0"/>
            </w:tcBorders>
            <w:shd w:val="clear" w:color="auto" w:fill="auto"/>
            <w:vAlign w:val="center"/>
          </w:tcPr>
          <w:p w14:paraId="4492BBE1">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SCI（E）二区、三高期刊库T2、三高会议库T1、卓越期刊（梯队）</w:t>
            </w:r>
          </w:p>
        </w:tc>
        <w:tc>
          <w:tcPr>
            <w:tcW w:w="679" w:type="pct"/>
            <w:tcBorders>
              <w:top w:val="nil"/>
              <w:left w:val="nil"/>
              <w:bottom w:val="single" w:color="auto" w:sz="4" w:space="0"/>
              <w:right w:val="single" w:color="auto" w:sz="4" w:space="0"/>
            </w:tcBorders>
            <w:shd w:val="clear" w:color="auto" w:fill="auto"/>
            <w:vAlign w:val="center"/>
          </w:tcPr>
          <w:p w14:paraId="4C3E7AE2">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理工科</w:t>
            </w:r>
          </w:p>
        </w:tc>
        <w:tc>
          <w:tcPr>
            <w:tcW w:w="487" w:type="pct"/>
            <w:vMerge w:val="restart"/>
            <w:tcBorders>
              <w:top w:val="nil"/>
              <w:left w:val="nil"/>
              <w:right w:val="single" w:color="auto" w:sz="4" w:space="0"/>
            </w:tcBorders>
            <w:vAlign w:val="center"/>
          </w:tcPr>
          <w:p w14:paraId="13FD0945">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A170F65">
        <w:tblPrEx>
          <w:tblCellMar>
            <w:top w:w="0" w:type="dxa"/>
            <w:left w:w="108" w:type="dxa"/>
            <w:bottom w:w="0" w:type="dxa"/>
            <w:right w:w="108" w:type="dxa"/>
          </w:tblCellMar>
        </w:tblPrEx>
        <w:trPr>
          <w:trHeight w:val="362" w:hRule="atLeast"/>
          <w:jc w:val="center"/>
        </w:trPr>
        <w:tc>
          <w:tcPr>
            <w:tcW w:w="436" w:type="pct"/>
            <w:vMerge w:val="continue"/>
            <w:tcBorders>
              <w:left w:val="single" w:color="auto" w:sz="4" w:space="0"/>
              <w:bottom w:val="single" w:color="auto" w:sz="4" w:space="0"/>
              <w:right w:val="single" w:color="auto" w:sz="4" w:space="0"/>
            </w:tcBorders>
            <w:vAlign w:val="center"/>
          </w:tcPr>
          <w:p w14:paraId="172D8F15">
            <w:pPr>
              <w:widowControl/>
              <w:spacing w:before="100" w:beforeAutospacing="1" w:after="100" w:afterAutospacing="1"/>
              <w:jc w:val="center"/>
              <w:rPr>
                <w:rFonts w:ascii="Times New Roman" w:hAnsi="Times New Roman" w:eastAsia="仿宋_GB2312" w:cs="Times New Roman"/>
                <w:kern w:val="0"/>
                <w:szCs w:val="21"/>
              </w:rPr>
            </w:pPr>
          </w:p>
        </w:tc>
        <w:tc>
          <w:tcPr>
            <w:tcW w:w="3397" w:type="pct"/>
            <w:tcBorders>
              <w:top w:val="nil"/>
              <w:left w:val="single" w:color="auto" w:sz="4" w:space="0"/>
              <w:bottom w:val="single" w:color="auto" w:sz="4" w:space="0"/>
              <w:right w:val="single" w:color="auto" w:sz="4" w:space="0"/>
            </w:tcBorders>
            <w:shd w:val="clear" w:color="auto" w:fill="auto"/>
            <w:vAlign w:val="center"/>
          </w:tcPr>
          <w:p w14:paraId="49D6E37B">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权威/SSCI二区</w:t>
            </w:r>
          </w:p>
        </w:tc>
        <w:tc>
          <w:tcPr>
            <w:tcW w:w="679" w:type="pct"/>
            <w:tcBorders>
              <w:top w:val="single" w:color="auto" w:sz="4" w:space="0"/>
              <w:left w:val="nil"/>
              <w:bottom w:val="single" w:color="auto" w:sz="4" w:space="0"/>
              <w:right w:val="single" w:color="auto" w:sz="4" w:space="0"/>
            </w:tcBorders>
            <w:shd w:val="clear" w:color="auto" w:fill="auto"/>
            <w:vAlign w:val="center"/>
          </w:tcPr>
          <w:p w14:paraId="53E1D121">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文科</w:t>
            </w:r>
          </w:p>
        </w:tc>
        <w:tc>
          <w:tcPr>
            <w:tcW w:w="487" w:type="pct"/>
            <w:vMerge w:val="continue"/>
            <w:tcBorders>
              <w:left w:val="nil"/>
              <w:bottom w:val="single" w:color="auto" w:sz="4" w:space="0"/>
              <w:right w:val="single" w:color="auto" w:sz="4" w:space="0"/>
            </w:tcBorders>
            <w:vAlign w:val="center"/>
          </w:tcPr>
          <w:p w14:paraId="1920CAF6">
            <w:pPr>
              <w:widowControl/>
              <w:spacing w:before="100" w:beforeAutospacing="1" w:after="100" w:afterAutospacing="1"/>
              <w:jc w:val="center"/>
              <w:rPr>
                <w:rFonts w:ascii="Times New Roman" w:hAnsi="Times New Roman" w:eastAsia="仿宋_GB2312" w:cs="Times New Roman"/>
                <w:kern w:val="0"/>
                <w:szCs w:val="21"/>
              </w:rPr>
            </w:pPr>
          </w:p>
        </w:tc>
      </w:tr>
      <w:tr w14:paraId="096572B4">
        <w:tblPrEx>
          <w:tblCellMar>
            <w:top w:w="0" w:type="dxa"/>
            <w:left w:w="108" w:type="dxa"/>
            <w:bottom w:w="0" w:type="dxa"/>
            <w:right w:w="108" w:type="dxa"/>
          </w:tblCellMar>
        </w:tblPrEx>
        <w:trPr>
          <w:trHeight w:val="363" w:hRule="atLeast"/>
          <w:jc w:val="center"/>
        </w:trPr>
        <w:tc>
          <w:tcPr>
            <w:tcW w:w="436" w:type="pct"/>
            <w:vMerge w:val="restart"/>
            <w:tcBorders>
              <w:top w:val="nil"/>
              <w:left w:val="single" w:color="auto" w:sz="4" w:space="0"/>
              <w:right w:val="single" w:color="auto" w:sz="4" w:space="0"/>
            </w:tcBorders>
            <w:vAlign w:val="center"/>
          </w:tcPr>
          <w:p w14:paraId="01B648DF">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第四等级</w:t>
            </w:r>
          </w:p>
        </w:tc>
        <w:tc>
          <w:tcPr>
            <w:tcW w:w="3397" w:type="pct"/>
            <w:tcBorders>
              <w:top w:val="nil"/>
              <w:left w:val="single" w:color="auto" w:sz="4" w:space="0"/>
              <w:bottom w:val="single" w:color="auto" w:sz="4" w:space="0"/>
              <w:right w:val="single" w:color="auto" w:sz="4" w:space="0"/>
            </w:tcBorders>
            <w:shd w:val="clear" w:color="auto" w:fill="auto"/>
            <w:vAlign w:val="center"/>
          </w:tcPr>
          <w:p w14:paraId="491648CF">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SCI（E）三四区、三高期刊库T3、三高会议库T2、权威期刊</w:t>
            </w:r>
          </w:p>
        </w:tc>
        <w:tc>
          <w:tcPr>
            <w:tcW w:w="679" w:type="pct"/>
            <w:tcBorders>
              <w:top w:val="nil"/>
              <w:left w:val="nil"/>
              <w:bottom w:val="single" w:color="auto" w:sz="4" w:space="0"/>
              <w:right w:val="single" w:color="auto" w:sz="4" w:space="0"/>
            </w:tcBorders>
            <w:shd w:val="clear" w:color="auto" w:fill="auto"/>
            <w:vAlign w:val="center"/>
          </w:tcPr>
          <w:p w14:paraId="76F41712">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理工科</w:t>
            </w:r>
          </w:p>
        </w:tc>
        <w:tc>
          <w:tcPr>
            <w:tcW w:w="487" w:type="pct"/>
            <w:vMerge w:val="restart"/>
            <w:tcBorders>
              <w:top w:val="nil"/>
              <w:left w:val="nil"/>
              <w:right w:val="single" w:color="auto" w:sz="4" w:space="0"/>
            </w:tcBorders>
            <w:vAlign w:val="center"/>
          </w:tcPr>
          <w:p w14:paraId="0D2617A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14:paraId="2A841719">
        <w:tblPrEx>
          <w:tblCellMar>
            <w:top w:w="0" w:type="dxa"/>
            <w:left w:w="108" w:type="dxa"/>
            <w:bottom w:w="0" w:type="dxa"/>
            <w:right w:w="108" w:type="dxa"/>
          </w:tblCellMar>
        </w:tblPrEx>
        <w:trPr>
          <w:trHeight w:val="363" w:hRule="atLeast"/>
          <w:jc w:val="center"/>
        </w:trPr>
        <w:tc>
          <w:tcPr>
            <w:tcW w:w="436" w:type="pct"/>
            <w:vMerge w:val="continue"/>
            <w:tcBorders>
              <w:left w:val="single" w:color="auto" w:sz="4" w:space="0"/>
              <w:bottom w:val="single" w:color="auto" w:sz="4" w:space="0"/>
              <w:right w:val="single" w:color="auto" w:sz="4" w:space="0"/>
            </w:tcBorders>
            <w:vAlign w:val="center"/>
          </w:tcPr>
          <w:p w14:paraId="13EE167F">
            <w:pPr>
              <w:widowControl/>
              <w:spacing w:before="100" w:beforeAutospacing="1" w:after="100" w:afterAutospacing="1"/>
              <w:jc w:val="center"/>
              <w:rPr>
                <w:rFonts w:ascii="Times New Roman" w:hAnsi="Times New Roman" w:eastAsia="仿宋_GB2312" w:cs="Times New Roman"/>
                <w:kern w:val="0"/>
                <w:szCs w:val="21"/>
              </w:rPr>
            </w:pPr>
          </w:p>
        </w:tc>
        <w:tc>
          <w:tcPr>
            <w:tcW w:w="3397" w:type="pct"/>
            <w:tcBorders>
              <w:top w:val="nil"/>
              <w:left w:val="single" w:color="auto" w:sz="4" w:space="0"/>
              <w:bottom w:val="single" w:color="auto" w:sz="4" w:space="0"/>
              <w:right w:val="single" w:color="auto" w:sz="4" w:space="0"/>
            </w:tcBorders>
            <w:shd w:val="clear" w:color="auto" w:fill="auto"/>
            <w:vAlign w:val="center"/>
          </w:tcPr>
          <w:p w14:paraId="2FE1B4F8">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CSSCI/SSCI三四区</w:t>
            </w:r>
          </w:p>
        </w:tc>
        <w:tc>
          <w:tcPr>
            <w:tcW w:w="679" w:type="pct"/>
            <w:tcBorders>
              <w:top w:val="single" w:color="auto" w:sz="4" w:space="0"/>
              <w:left w:val="nil"/>
              <w:bottom w:val="single" w:color="auto" w:sz="4" w:space="0"/>
              <w:right w:val="single" w:color="auto" w:sz="4" w:space="0"/>
            </w:tcBorders>
            <w:shd w:val="clear" w:color="auto" w:fill="auto"/>
            <w:vAlign w:val="center"/>
          </w:tcPr>
          <w:p w14:paraId="00E855BB">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文科</w:t>
            </w:r>
          </w:p>
        </w:tc>
        <w:tc>
          <w:tcPr>
            <w:tcW w:w="487" w:type="pct"/>
            <w:vMerge w:val="continue"/>
            <w:tcBorders>
              <w:left w:val="nil"/>
              <w:bottom w:val="single" w:color="auto" w:sz="4" w:space="0"/>
              <w:right w:val="single" w:color="auto" w:sz="4" w:space="0"/>
            </w:tcBorders>
            <w:vAlign w:val="center"/>
          </w:tcPr>
          <w:p w14:paraId="6C2D8CEB">
            <w:pPr>
              <w:widowControl/>
              <w:spacing w:before="100" w:beforeAutospacing="1" w:after="100" w:afterAutospacing="1"/>
              <w:rPr>
                <w:rFonts w:ascii="Times New Roman" w:hAnsi="Times New Roman" w:eastAsia="仿宋_GB2312" w:cs="Times New Roman"/>
                <w:kern w:val="0"/>
                <w:szCs w:val="21"/>
              </w:rPr>
            </w:pPr>
          </w:p>
        </w:tc>
      </w:tr>
      <w:tr w14:paraId="2076BF65">
        <w:tblPrEx>
          <w:tblCellMar>
            <w:top w:w="0" w:type="dxa"/>
            <w:left w:w="108" w:type="dxa"/>
            <w:bottom w:w="0" w:type="dxa"/>
            <w:right w:w="108" w:type="dxa"/>
          </w:tblCellMar>
        </w:tblPrEx>
        <w:trPr>
          <w:trHeight w:val="519" w:hRule="atLeast"/>
          <w:jc w:val="center"/>
        </w:trPr>
        <w:tc>
          <w:tcPr>
            <w:tcW w:w="436" w:type="pct"/>
            <w:tcBorders>
              <w:top w:val="nil"/>
              <w:left w:val="single" w:color="auto" w:sz="4" w:space="0"/>
              <w:bottom w:val="single" w:color="auto" w:sz="4" w:space="0"/>
              <w:right w:val="single" w:color="auto" w:sz="4" w:space="0"/>
            </w:tcBorders>
            <w:vAlign w:val="center"/>
          </w:tcPr>
          <w:p w14:paraId="2876E589">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第五等级</w:t>
            </w:r>
          </w:p>
        </w:tc>
        <w:tc>
          <w:tcPr>
            <w:tcW w:w="3397" w:type="pct"/>
            <w:tcBorders>
              <w:top w:val="nil"/>
              <w:left w:val="single" w:color="auto" w:sz="4" w:space="0"/>
              <w:bottom w:val="single" w:color="auto" w:sz="4" w:space="0"/>
              <w:right w:val="single" w:color="auto" w:sz="4" w:space="0"/>
            </w:tcBorders>
            <w:shd w:val="clear" w:color="auto" w:fill="auto"/>
            <w:vAlign w:val="center"/>
          </w:tcPr>
          <w:p w14:paraId="74508F3C">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北大中文核心期刊</w:t>
            </w:r>
          </w:p>
        </w:tc>
        <w:tc>
          <w:tcPr>
            <w:tcW w:w="679" w:type="pct"/>
            <w:tcBorders>
              <w:top w:val="nil"/>
              <w:left w:val="nil"/>
              <w:bottom w:val="single" w:color="auto" w:sz="4" w:space="0"/>
              <w:right w:val="single" w:color="auto" w:sz="4" w:space="0"/>
            </w:tcBorders>
            <w:shd w:val="clear" w:color="auto" w:fill="auto"/>
            <w:vAlign w:val="center"/>
          </w:tcPr>
          <w:p w14:paraId="5193E22A">
            <w:pPr>
              <w:widowControl/>
              <w:spacing w:before="100" w:beforeAutospacing="1" w:after="100" w:afterAutospacing="1"/>
              <w:jc w:val="center"/>
              <w:rPr>
                <w:rFonts w:ascii="Times New Roman" w:hAnsi="Times New Roman" w:eastAsia="仿宋_GB2312" w:cs="Times New Roman"/>
                <w:kern w:val="0"/>
                <w:szCs w:val="21"/>
              </w:rPr>
            </w:pPr>
          </w:p>
        </w:tc>
        <w:tc>
          <w:tcPr>
            <w:tcW w:w="487" w:type="pct"/>
            <w:tcBorders>
              <w:top w:val="nil"/>
              <w:left w:val="nil"/>
              <w:bottom w:val="single" w:color="auto" w:sz="4" w:space="0"/>
              <w:right w:val="single" w:color="auto" w:sz="4" w:space="0"/>
            </w:tcBorders>
            <w:vAlign w:val="center"/>
          </w:tcPr>
          <w:p w14:paraId="3158385B">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r>
      <w:bookmarkEnd w:id="0"/>
    </w:tbl>
    <w:p w14:paraId="06995259">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注：</w:t>
      </w:r>
    </w:p>
    <w:p w14:paraId="42F8CCD7">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（1）卓越期刊、权威期刊、三类高质量论文期刊和学术会议目录等按学校科学技术处和社会科学处发布的目录清单执行</w:t>
      </w:r>
      <w:r>
        <w:rPr>
          <w:rFonts w:hint="eastAsia" w:ascii="Times New Roman" w:hAnsi="Times New Roman" w:eastAsia="仿宋_GB2312" w:cs="Times New Roman"/>
          <w:color w:val="000000"/>
          <w:sz w:val="32"/>
          <w:szCs w:val="32"/>
        </w:rPr>
        <w:t>，</w:t>
      </w:r>
      <w:bookmarkStart w:id="1" w:name="_Hlk148087397"/>
      <w:r>
        <w:rPr>
          <w:rFonts w:ascii="Times New Roman" w:hAnsi="Times New Roman" w:eastAsia="仿宋_GB2312" w:cs="Times New Roman"/>
          <w:color w:val="000000"/>
          <w:sz w:val="32"/>
          <w:szCs w:val="32"/>
        </w:rPr>
        <w:t>以论文发表当年所适用的期刊目录版本为准。</w:t>
      </w:r>
      <w:bookmarkEnd w:id="1"/>
      <w:r>
        <w:rPr>
          <w:rFonts w:hint="eastAsia" w:ascii="Times New Roman" w:hAnsi="Times New Roman" w:eastAsia="仿宋_GB2312" w:cs="Times New Roman"/>
          <w:color w:val="000000"/>
          <w:sz w:val="32"/>
          <w:szCs w:val="32"/>
        </w:rPr>
        <w:t>期刊分区以文章发表当年中国科学院发布的期刊分区表为依据（如大类小类均有，按就高原则；如当前的分区结果未出，参考前一年的）</w:t>
      </w:r>
      <w:r>
        <w:rPr>
          <w:rFonts w:ascii="Times New Roman" w:hAnsi="Times New Roman" w:eastAsia="仿宋_GB2312" w:cs="Times New Roman"/>
          <w:color w:val="000000"/>
          <w:sz w:val="32"/>
          <w:szCs w:val="32"/>
        </w:rPr>
        <w:t>。如期刊归属多个分类，按就高原则加分。上述期刊不含增刊、副刊和专辑。</w:t>
      </w:r>
    </w:p>
    <w:p w14:paraId="5DD729E6">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（2）学术论文须以独立作者或第一作者公开发表（含在线公开发表）且与学生专业相关，仅有录用通知不计分。</w:t>
      </w:r>
    </w:p>
    <w:p w14:paraId="226F3592">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2．创新创业竞赛加分</w:t>
      </w:r>
    </w:p>
    <w:tbl>
      <w:tblPr>
        <w:tblStyle w:val="7"/>
        <w:tblpPr w:leftFromText="180" w:rightFromText="180" w:vertAnchor="text" w:horzAnchor="margin" w:tblpXSpec="center" w:tblpY="3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719"/>
        <w:gridCol w:w="2278"/>
        <w:gridCol w:w="2278"/>
        <w:gridCol w:w="2154"/>
      </w:tblGrid>
      <w:tr w14:paraId="51CF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62" w:type="pct"/>
            <w:gridSpan w:val="2"/>
            <w:vMerge w:val="restart"/>
            <w:vAlign w:val="center"/>
          </w:tcPr>
          <w:p w14:paraId="1F66F3CA">
            <w:pPr>
              <w:widowControl/>
              <w:spacing w:before="100" w:beforeAutospacing="1" w:after="100" w:afterAutospacing="1"/>
              <w:jc w:val="center"/>
              <w:rPr>
                <w:rFonts w:ascii="Times New Roman" w:hAnsi="Times New Roman" w:eastAsia="仿宋_GB2312" w:cs="Times New Roman"/>
                <w:kern w:val="0"/>
                <w:szCs w:val="21"/>
              </w:rPr>
            </w:pPr>
            <w:bookmarkStart w:id="2" w:name="_Hlk153438122"/>
            <w:r>
              <w:rPr>
                <w:rFonts w:hint="eastAsia" w:ascii="Times New Roman" w:hAnsi="Times New Roman" w:eastAsia="仿宋_GB2312" w:cs="Times New Roman"/>
                <w:kern w:val="0"/>
                <w:szCs w:val="21"/>
              </w:rPr>
              <w:t>竞赛类别</w:t>
            </w:r>
          </w:p>
        </w:tc>
        <w:tc>
          <w:tcPr>
            <w:tcW w:w="3938" w:type="pct"/>
            <w:gridSpan w:val="3"/>
            <w:vAlign w:val="center"/>
          </w:tcPr>
          <w:p w14:paraId="4BA34660">
            <w:pPr>
              <w:widowControl/>
              <w:spacing w:before="100" w:beforeAutospacing="1" w:after="100" w:afterAutospacing="1"/>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加分分值</w:t>
            </w:r>
          </w:p>
        </w:tc>
      </w:tr>
      <w:tr w14:paraId="0406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2" w:type="pct"/>
            <w:gridSpan w:val="2"/>
            <w:vMerge w:val="continue"/>
            <w:vAlign w:val="center"/>
          </w:tcPr>
          <w:p w14:paraId="2A391919">
            <w:pPr>
              <w:widowControl/>
              <w:spacing w:before="100" w:beforeAutospacing="1" w:after="100" w:afterAutospacing="1"/>
              <w:jc w:val="center"/>
              <w:rPr>
                <w:rFonts w:ascii="Times New Roman" w:hAnsi="Times New Roman" w:eastAsia="仿宋_GB2312" w:cs="Times New Roman"/>
                <w:kern w:val="0"/>
                <w:szCs w:val="21"/>
              </w:rPr>
            </w:pPr>
          </w:p>
        </w:tc>
        <w:tc>
          <w:tcPr>
            <w:tcW w:w="1337" w:type="pct"/>
            <w:vAlign w:val="center"/>
          </w:tcPr>
          <w:p w14:paraId="6B849C89">
            <w:pPr>
              <w:widowControl/>
              <w:spacing w:before="100" w:beforeAutospacing="1" w:after="100" w:afterAutospacing="1"/>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第一等级</w:t>
            </w:r>
          </w:p>
        </w:tc>
        <w:tc>
          <w:tcPr>
            <w:tcW w:w="1337" w:type="pct"/>
            <w:shd w:val="clear" w:color="auto" w:fill="auto"/>
            <w:vAlign w:val="center"/>
          </w:tcPr>
          <w:p w14:paraId="59762669">
            <w:pPr>
              <w:widowControl/>
              <w:spacing w:before="100" w:beforeAutospacing="1" w:after="100" w:afterAutospacing="1"/>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第二等级</w:t>
            </w:r>
          </w:p>
        </w:tc>
        <w:tc>
          <w:tcPr>
            <w:tcW w:w="1264" w:type="pct"/>
            <w:shd w:val="clear" w:color="auto" w:fill="auto"/>
            <w:vAlign w:val="center"/>
          </w:tcPr>
          <w:p w14:paraId="24AC60B0">
            <w:pPr>
              <w:widowControl/>
              <w:spacing w:before="100" w:beforeAutospacing="1" w:after="100" w:afterAutospacing="1"/>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第三等级</w:t>
            </w:r>
          </w:p>
        </w:tc>
      </w:tr>
      <w:tr w14:paraId="600E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640" w:type="pct"/>
            <w:vMerge w:val="restart"/>
            <w:vAlign w:val="center"/>
          </w:tcPr>
          <w:p w14:paraId="77E9E68A">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I</w:t>
            </w:r>
            <w:r>
              <w:rPr>
                <w:rFonts w:hint="eastAsia" w:ascii="Times New Roman" w:hAnsi="Times New Roman" w:eastAsia="仿宋_GB2312" w:cs="Times New Roman"/>
                <w:kern w:val="0"/>
                <w:szCs w:val="21"/>
              </w:rPr>
              <w:t>类竞赛</w:t>
            </w:r>
          </w:p>
        </w:tc>
        <w:tc>
          <w:tcPr>
            <w:tcW w:w="422" w:type="pct"/>
            <w:vAlign w:val="center"/>
          </w:tcPr>
          <w:p w14:paraId="633E4699">
            <w:pPr>
              <w:widowControl/>
              <w:spacing w:before="100" w:beforeAutospacing="1" w:after="100" w:afterAutospacing="1"/>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国赛</w:t>
            </w:r>
          </w:p>
        </w:tc>
        <w:tc>
          <w:tcPr>
            <w:tcW w:w="1337" w:type="pct"/>
            <w:vAlign w:val="center"/>
          </w:tcPr>
          <w:p w14:paraId="67274F32">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8.0</w:t>
            </w:r>
          </w:p>
          <w:p w14:paraId="6A16156A">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5.0</w:t>
            </w:r>
          </w:p>
          <w:p w14:paraId="6C40850E">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4.0</w:t>
            </w:r>
          </w:p>
          <w:p w14:paraId="023D6C77">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排名第四</w:t>
            </w:r>
            <w:r>
              <w:rPr>
                <w:rFonts w:ascii="Times New Roman" w:hAnsi="Times New Roman" w:eastAsia="仿宋_GB2312" w:cs="Times New Roman"/>
                <w:kern w:val="0"/>
                <w:szCs w:val="21"/>
              </w:rPr>
              <w:t xml:space="preserve"> 3.0</w:t>
            </w:r>
          </w:p>
          <w:p w14:paraId="0976C6CF">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排名第五</w:t>
            </w:r>
            <w:r>
              <w:rPr>
                <w:rFonts w:ascii="Times New Roman" w:hAnsi="Times New Roman" w:eastAsia="仿宋_GB2312" w:cs="Times New Roman"/>
                <w:kern w:val="0"/>
                <w:szCs w:val="21"/>
              </w:rPr>
              <w:t xml:space="preserve"> 2.0</w:t>
            </w:r>
          </w:p>
        </w:tc>
        <w:tc>
          <w:tcPr>
            <w:tcW w:w="1337" w:type="pct"/>
            <w:shd w:val="clear" w:color="auto" w:fill="auto"/>
            <w:vAlign w:val="center"/>
          </w:tcPr>
          <w:p w14:paraId="2CB5A1CF">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5.0</w:t>
            </w:r>
          </w:p>
          <w:p w14:paraId="4F0D4BEB">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4.0</w:t>
            </w:r>
          </w:p>
          <w:p w14:paraId="4C265D23">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3.0</w:t>
            </w:r>
          </w:p>
          <w:p w14:paraId="76CFD2F1">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排名第四</w:t>
            </w:r>
            <w:r>
              <w:rPr>
                <w:rFonts w:ascii="Times New Roman" w:hAnsi="Times New Roman" w:eastAsia="仿宋_GB2312" w:cs="Times New Roman"/>
                <w:kern w:val="0"/>
                <w:szCs w:val="21"/>
              </w:rPr>
              <w:t xml:space="preserve"> 2.0</w:t>
            </w:r>
          </w:p>
          <w:p w14:paraId="1DDC4F7B">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排名第五</w:t>
            </w:r>
            <w:r>
              <w:rPr>
                <w:rFonts w:ascii="Times New Roman" w:hAnsi="Times New Roman" w:eastAsia="仿宋_GB2312" w:cs="Times New Roman"/>
                <w:kern w:val="0"/>
                <w:szCs w:val="21"/>
              </w:rPr>
              <w:t xml:space="preserve"> 1.0</w:t>
            </w:r>
          </w:p>
        </w:tc>
        <w:tc>
          <w:tcPr>
            <w:tcW w:w="1264" w:type="pct"/>
            <w:shd w:val="clear" w:color="auto" w:fill="auto"/>
            <w:vAlign w:val="center"/>
          </w:tcPr>
          <w:p w14:paraId="27E1D2C3">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3.0</w:t>
            </w:r>
          </w:p>
          <w:p w14:paraId="1D5F5BB5">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2.0</w:t>
            </w:r>
          </w:p>
          <w:p w14:paraId="6E4DF290">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1.5</w:t>
            </w:r>
          </w:p>
          <w:p w14:paraId="3F5F66EA">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排名第四</w:t>
            </w:r>
            <w:r>
              <w:rPr>
                <w:rFonts w:ascii="Times New Roman" w:hAnsi="Times New Roman" w:eastAsia="仿宋_GB2312" w:cs="Times New Roman"/>
                <w:kern w:val="0"/>
                <w:szCs w:val="21"/>
              </w:rPr>
              <w:t xml:space="preserve"> 1.0</w:t>
            </w:r>
          </w:p>
          <w:p w14:paraId="49FBE85D">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排名第五</w:t>
            </w:r>
            <w:r>
              <w:rPr>
                <w:rFonts w:ascii="Times New Roman" w:hAnsi="Times New Roman" w:eastAsia="仿宋_GB2312" w:cs="Times New Roman"/>
                <w:kern w:val="0"/>
                <w:szCs w:val="21"/>
              </w:rPr>
              <w:t xml:space="preserve"> 0.5</w:t>
            </w:r>
          </w:p>
        </w:tc>
      </w:tr>
      <w:tr w14:paraId="58E2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640" w:type="pct"/>
            <w:vMerge w:val="continue"/>
            <w:vAlign w:val="center"/>
          </w:tcPr>
          <w:p w14:paraId="15C7244F">
            <w:pPr>
              <w:widowControl/>
              <w:spacing w:before="100" w:beforeAutospacing="1" w:after="100" w:afterAutospacing="1"/>
              <w:jc w:val="center"/>
              <w:rPr>
                <w:rFonts w:ascii="Times New Roman" w:hAnsi="Times New Roman" w:eastAsia="仿宋_GB2312" w:cs="Times New Roman"/>
                <w:kern w:val="0"/>
                <w:szCs w:val="21"/>
              </w:rPr>
            </w:pPr>
          </w:p>
        </w:tc>
        <w:tc>
          <w:tcPr>
            <w:tcW w:w="422" w:type="pct"/>
            <w:vAlign w:val="center"/>
          </w:tcPr>
          <w:p w14:paraId="13C8B33C">
            <w:pPr>
              <w:widowControl/>
              <w:spacing w:before="100" w:beforeAutospacing="1" w:after="100" w:afterAutospacing="1"/>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省赛</w:t>
            </w:r>
          </w:p>
        </w:tc>
        <w:tc>
          <w:tcPr>
            <w:tcW w:w="1337" w:type="pct"/>
            <w:vAlign w:val="center"/>
          </w:tcPr>
          <w:p w14:paraId="1590B1AF">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2.0</w:t>
            </w:r>
          </w:p>
          <w:p w14:paraId="6AFD327B">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1.5</w:t>
            </w:r>
          </w:p>
          <w:p w14:paraId="0E868376">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1.0</w:t>
            </w:r>
          </w:p>
          <w:p w14:paraId="596DF333">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排名第四</w:t>
            </w:r>
            <w:r>
              <w:rPr>
                <w:rFonts w:ascii="Times New Roman" w:hAnsi="Times New Roman" w:eastAsia="仿宋_GB2312" w:cs="Times New Roman"/>
                <w:kern w:val="0"/>
                <w:szCs w:val="21"/>
              </w:rPr>
              <w:t xml:space="preserve"> 0.5</w:t>
            </w:r>
          </w:p>
        </w:tc>
        <w:tc>
          <w:tcPr>
            <w:tcW w:w="1337" w:type="pct"/>
            <w:shd w:val="clear" w:color="auto" w:fill="auto"/>
            <w:vAlign w:val="center"/>
          </w:tcPr>
          <w:p w14:paraId="6A17C13E">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1.5</w:t>
            </w:r>
          </w:p>
          <w:p w14:paraId="2C5D5FEF">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1.0</w:t>
            </w:r>
          </w:p>
          <w:p w14:paraId="153629B2">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0.5</w:t>
            </w:r>
          </w:p>
        </w:tc>
        <w:tc>
          <w:tcPr>
            <w:tcW w:w="1264" w:type="pct"/>
            <w:shd w:val="clear" w:color="auto" w:fill="auto"/>
            <w:vAlign w:val="center"/>
          </w:tcPr>
          <w:p w14:paraId="59EA4B48">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1.0</w:t>
            </w:r>
          </w:p>
          <w:p w14:paraId="0C56FD26">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0.5</w:t>
            </w:r>
          </w:p>
          <w:p w14:paraId="003A552E">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0.3</w:t>
            </w:r>
          </w:p>
        </w:tc>
      </w:tr>
      <w:tr w14:paraId="48F2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640" w:type="pct"/>
            <w:vMerge w:val="restart"/>
            <w:vAlign w:val="center"/>
          </w:tcPr>
          <w:p w14:paraId="006D395A">
            <w:pPr>
              <w:widowControl/>
              <w:spacing w:before="100" w:beforeAutospacing="1" w:after="100" w:afterAutospacing="1"/>
              <w:jc w:val="center"/>
              <w:rPr>
                <w:rFonts w:ascii="Times New Roman" w:hAnsi="Times New Roman" w:eastAsia="仿宋_GB2312" w:cs="Times New Roman"/>
                <w:kern w:val="0"/>
                <w:szCs w:val="21"/>
              </w:rPr>
            </w:pPr>
            <w:bookmarkStart w:id="3" w:name="OLE_LINK2"/>
            <w:r>
              <w:rPr>
                <w:rFonts w:ascii="Times New Roman" w:hAnsi="Times New Roman" w:eastAsia="仿宋_GB2312" w:cs="Times New Roman"/>
                <w:kern w:val="0"/>
                <w:szCs w:val="21"/>
              </w:rPr>
              <w:t>II</w:t>
            </w:r>
            <w:r>
              <w:rPr>
                <w:rFonts w:hint="eastAsia" w:ascii="Times New Roman" w:hAnsi="Times New Roman" w:eastAsia="仿宋_GB2312" w:cs="Times New Roman"/>
                <w:kern w:val="0"/>
                <w:szCs w:val="21"/>
              </w:rPr>
              <w:t>类竞赛</w:t>
            </w:r>
            <w:bookmarkEnd w:id="3"/>
            <w:r>
              <w:rPr>
                <w:rFonts w:hint="eastAsia" w:ascii="Times New Roman" w:hAnsi="Times New Roman" w:eastAsia="仿宋_GB2312" w:cs="Times New Roman"/>
                <w:kern w:val="0"/>
                <w:szCs w:val="21"/>
              </w:rPr>
              <w:t>（自2</w:t>
            </w:r>
            <w:r>
              <w:rPr>
                <w:rFonts w:ascii="Times New Roman" w:hAnsi="Times New Roman" w:eastAsia="仿宋_GB2312" w:cs="Times New Roman"/>
                <w:kern w:val="0"/>
                <w:szCs w:val="21"/>
              </w:rPr>
              <w:t>023</w:t>
            </w:r>
            <w:r>
              <w:rPr>
                <w:rFonts w:hint="eastAsia" w:ascii="Times New Roman" w:hAnsi="Times New Roman" w:eastAsia="仿宋_GB2312" w:cs="Times New Roman"/>
                <w:kern w:val="0"/>
                <w:szCs w:val="21"/>
              </w:rPr>
              <w:t>级学生开始，</w:t>
            </w:r>
            <w:r>
              <w:rPr>
                <w:rFonts w:ascii="Times New Roman" w:hAnsi="Times New Roman" w:eastAsia="仿宋_GB2312" w:cs="Times New Roman"/>
                <w:kern w:val="0"/>
                <w:szCs w:val="21"/>
              </w:rPr>
              <w:t xml:space="preserve"> II</w:t>
            </w:r>
            <w:r>
              <w:rPr>
                <w:rFonts w:hint="eastAsia" w:ascii="Times New Roman" w:hAnsi="Times New Roman" w:eastAsia="仿宋_GB2312" w:cs="Times New Roman"/>
                <w:kern w:val="0"/>
                <w:szCs w:val="21"/>
              </w:rPr>
              <w:t>类竞赛省赛获奖项目不纳入加分体系）</w:t>
            </w:r>
          </w:p>
        </w:tc>
        <w:tc>
          <w:tcPr>
            <w:tcW w:w="422" w:type="pct"/>
            <w:vAlign w:val="center"/>
          </w:tcPr>
          <w:p w14:paraId="793DE40B">
            <w:pPr>
              <w:widowControl/>
              <w:spacing w:before="100" w:beforeAutospacing="1" w:after="100" w:afterAutospacing="1"/>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国赛</w:t>
            </w:r>
          </w:p>
        </w:tc>
        <w:tc>
          <w:tcPr>
            <w:tcW w:w="1337" w:type="pct"/>
            <w:vAlign w:val="center"/>
          </w:tcPr>
          <w:p w14:paraId="56627C99">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3.5</w:t>
            </w:r>
          </w:p>
          <w:p w14:paraId="1B52CFAD">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2.5</w:t>
            </w:r>
          </w:p>
          <w:p w14:paraId="52F5EE5F">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1.5</w:t>
            </w:r>
          </w:p>
          <w:p w14:paraId="3FC69A23">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排名第四</w:t>
            </w:r>
            <w:r>
              <w:rPr>
                <w:rFonts w:ascii="Times New Roman" w:hAnsi="Times New Roman" w:eastAsia="仿宋_GB2312" w:cs="Times New Roman"/>
                <w:kern w:val="0"/>
                <w:szCs w:val="21"/>
              </w:rPr>
              <w:t xml:space="preserve"> 0.5</w:t>
            </w:r>
          </w:p>
          <w:p w14:paraId="41141292">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排名第五</w:t>
            </w:r>
            <w:r>
              <w:rPr>
                <w:rFonts w:ascii="Times New Roman" w:hAnsi="Times New Roman" w:eastAsia="仿宋_GB2312" w:cs="Times New Roman"/>
                <w:kern w:val="0"/>
                <w:szCs w:val="21"/>
              </w:rPr>
              <w:t xml:space="preserve"> 0.2</w:t>
            </w:r>
          </w:p>
        </w:tc>
        <w:tc>
          <w:tcPr>
            <w:tcW w:w="1337" w:type="pct"/>
            <w:shd w:val="clear" w:color="auto" w:fill="auto"/>
            <w:vAlign w:val="center"/>
          </w:tcPr>
          <w:p w14:paraId="3A194D6C">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2.5</w:t>
            </w:r>
          </w:p>
          <w:p w14:paraId="77BBEEAA">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1.5</w:t>
            </w:r>
          </w:p>
          <w:p w14:paraId="7FBFE611">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0.5</w:t>
            </w:r>
          </w:p>
          <w:p w14:paraId="7FEA132E">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排名第四</w:t>
            </w:r>
            <w:r>
              <w:rPr>
                <w:rFonts w:ascii="Times New Roman" w:hAnsi="Times New Roman" w:eastAsia="仿宋_GB2312" w:cs="Times New Roman"/>
                <w:kern w:val="0"/>
                <w:szCs w:val="21"/>
              </w:rPr>
              <w:t xml:space="preserve"> 0.2</w:t>
            </w:r>
          </w:p>
        </w:tc>
        <w:tc>
          <w:tcPr>
            <w:tcW w:w="1264" w:type="pct"/>
            <w:shd w:val="clear" w:color="auto" w:fill="auto"/>
            <w:vAlign w:val="center"/>
          </w:tcPr>
          <w:p w14:paraId="51EED966">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w:t>
            </w:r>
            <w:r>
              <w:rPr>
                <w:rFonts w:ascii="Times New Roman" w:hAnsi="Times New Roman" w:eastAsia="仿宋_GB2312" w:cs="Times New Roman"/>
                <w:kern w:val="0"/>
                <w:szCs w:val="21"/>
              </w:rPr>
              <w:t xml:space="preserve"> 1.5</w:t>
            </w:r>
          </w:p>
          <w:p w14:paraId="53170A7A">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w:t>
            </w:r>
            <w:r>
              <w:rPr>
                <w:rFonts w:ascii="Times New Roman" w:hAnsi="Times New Roman" w:eastAsia="仿宋_GB2312" w:cs="Times New Roman"/>
                <w:kern w:val="0"/>
                <w:szCs w:val="21"/>
              </w:rPr>
              <w:t xml:space="preserve"> 0.5</w:t>
            </w:r>
          </w:p>
          <w:p w14:paraId="35F9BDCB">
            <w:pPr>
              <w:widowControl/>
              <w:spacing w:before="100" w:beforeAutospacing="1" w:after="100" w:afterAutospacing="1"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w:t>
            </w:r>
            <w:r>
              <w:rPr>
                <w:rFonts w:ascii="Times New Roman" w:hAnsi="Times New Roman" w:eastAsia="仿宋_GB2312" w:cs="Times New Roman"/>
                <w:kern w:val="0"/>
                <w:szCs w:val="21"/>
              </w:rPr>
              <w:t xml:space="preserve"> 0.2</w:t>
            </w:r>
          </w:p>
        </w:tc>
      </w:tr>
      <w:tr w14:paraId="6280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40" w:type="pct"/>
            <w:vMerge w:val="continue"/>
            <w:vAlign w:val="center"/>
          </w:tcPr>
          <w:p w14:paraId="26F7AD5C">
            <w:pPr>
              <w:widowControl/>
              <w:spacing w:before="100" w:beforeAutospacing="1" w:after="100" w:afterAutospacing="1"/>
              <w:jc w:val="center"/>
              <w:rPr>
                <w:rFonts w:ascii="Times New Roman" w:hAnsi="Times New Roman" w:eastAsia="仿宋_GB2312" w:cs="Times New Roman"/>
                <w:kern w:val="0"/>
                <w:szCs w:val="21"/>
              </w:rPr>
            </w:pPr>
          </w:p>
        </w:tc>
        <w:tc>
          <w:tcPr>
            <w:tcW w:w="422" w:type="pct"/>
            <w:vAlign w:val="center"/>
          </w:tcPr>
          <w:p w14:paraId="06C2772B">
            <w:pPr>
              <w:widowControl/>
              <w:spacing w:before="100" w:beforeAutospacing="1" w:after="100" w:afterAutospacing="1"/>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省赛</w:t>
            </w:r>
          </w:p>
        </w:tc>
        <w:tc>
          <w:tcPr>
            <w:tcW w:w="1337" w:type="pct"/>
            <w:vAlign w:val="center"/>
          </w:tcPr>
          <w:p w14:paraId="6D6270CE">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排名第一 </w:t>
            </w:r>
            <w:r>
              <w:rPr>
                <w:rFonts w:ascii="Times New Roman" w:hAnsi="Times New Roman" w:eastAsia="仿宋_GB2312" w:cs="Times New Roman"/>
                <w:kern w:val="0"/>
                <w:szCs w:val="21"/>
              </w:rPr>
              <w:t>1.0</w:t>
            </w:r>
          </w:p>
          <w:p w14:paraId="748E73E9">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 0.</w:t>
            </w:r>
            <w:r>
              <w:rPr>
                <w:rFonts w:ascii="Times New Roman" w:hAnsi="Times New Roman" w:eastAsia="仿宋_GB2312" w:cs="Times New Roman"/>
                <w:kern w:val="0"/>
                <w:szCs w:val="21"/>
              </w:rPr>
              <w:t>5</w:t>
            </w:r>
          </w:p>
          <w:p w14:paraId="1801B333">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排名第三 0.</w:t>
            </w:r>
            <w:r>
              <w:rPr>
                <w:rFonts w:ascii="Times New Roman" w:hAnsi="Times New Roman" w:eastAsia="仿宋_GB2312" w:cs="Times New Roman"/>
                <w:kern w:val="0"/>
                <w:szCs w:val="21"/>
              </w:rPr>
              <w:t>2</w:t>
            </w:r>
          </w:p>
        </w:tc>
        <w:tc>
          <w:tcPr>
            <w:tcW w:w="1337" w:type="pct"/>
            <w:shd w:val="clear" w:color="auto" w:fill="auto"/>
            <w:vAlign w:val="center"/>
          </w:tcPr>
          <w:p w14:paraId="14446141">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排名第一 0.</w:t>
            </w:r>
            <w:r>
              <w:rPr>
                <w:rFonts w:ascii="Times New Roman" w:hAnsi="Times New Roman" w:eastAsia="仿宋_GB2312" w:cs="Times New Roman"/>
                <w:kern w:val="0"/>
                <w:szCs w:val="21"/>
              </w:rPr>
              <w:t>5</w:t>
            </w:r>
          </w:p>
          <w:p w14:paraId="1E53B728">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排名第二 0.</w:t>
            </w:r>
            <w:r>
              <w:rPr>
                <w:rFonts w:ascii="Times New Roman" w:hAnsi="Times New Roman" w:eastAsia="仿宋_GB2312" w:cs="Times New Roman"/>
                <w:kern w:val="0"/>
                <w:szCs w:val="21"/>
              </w:rPr>
              <w:t>2</w:t>
            </w:r>
          </w:p>
        </w:tc>
        <w:tc>
          <w:tcPr>
            <w:tcW w:w="1264" w:type="pct"/>
            <w:shd w:val="clear" w:color="auto" w:fill="auto"/>
            <w:vAlign w:val="center"/>
          </w:tcPr>
          <w:p w14:paraId="0CA64A62">
            <w:pPr>
              <w:widowControl/>
              <w:spacing w:before="100" w:beforeAutospacing="1" w:after="100" w:afterAutospacing="1" w:line="22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不加分</w:t>
            </w:r>
          </w:p>
        </w:tc>
      </w:tr>
    </w:tbl>
    <w:p w14:paraId="6DD88295">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备注：</w:t>
      </w:r>
    </w:p>
    <w:p w14:paraId="26167C20">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（1）学生竞赛项目获奖日期以学生获得竞赛项目证书上的日期（或以主办方官网公布获奖日期）作为时间认定依据，竞赛项目级别以证书获奖日期所适应时间范围按</w:t>
      </w:r>
      <w:r>
        <w:rPr>
          <w:rFonts w:ascii="Times New Roman" w:hAnsi="Times New Roman" w:eastAsia="仿宋_GB2312" w:cs="Times New Roman"/>
          <w:color w:val="000000"/>
          <w:sz w:val="32"/>
          <w:szCs w:val="32"/>
        </w:rPr>
        <w:t>教务处（藕舫学院）</w:t>
      </w:r>
      <w:r>
        <w:rPr>
          <w:rFonts w:hint="eastAsia" w:ascii="Times New Roman" w:hAnsi="Times New Roman" w:eastAsia="仿宋_GB2312" w:cs="Times New Roman"/>
          <w:color w:val="000000"/>
          <w:sz w:val="32"/>
          <w:szCs w:val="32"/>
        </w:rPr>
        <w:t>对应</w:t>
      </w:r>
      <w:r>
        <w:rPr>
          <w:rFonts w:ascii="Times New Roman" w:hAnsi="Times New Roman" w:eastAsia="仿宋_GB2312" w:cs="Times New Roman"/>
          <w:color w:val="000000"/>
          <w:sz w:val="32"/>
          <w:szCs w:val="32"/>
        </w:rPr>
        <w:t>文件</w:t>
      </w:r>
      <w:r>
        <w:rPr>
          <w:rFonts w:hint="eastAsia" w:ascii="Times New Roman" w:hAnsi="Times New Roman" w:eastAsia="仿宋_GB2312" w:cs="Times New Roman"/>
          <w:color w:val="000000"/>
          <w:sz w:val="32"/>
          <w:szCs w:val="32"/>
        </w:rPr>
        <w:t>执行。</w:t>
      </w:r>
    </w:p>
    <w:p w14:paraId="47A4A3FA">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全国性学科竞赛校内选拔赛获奖等级按照校级等级认定，如全国大学生英语竞赛二、三等奖。数学建模竞赛、电子设计竞赛等证书上获奖者排名不分先后的竞赛，加分取平均分计算。</w:t>
      </w:r>
    </w:p>
    <w:bookmarkEnd w:id="2"/>
    <w:p w14:paraId="12338B2F">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3．大创项目加分</w:t>
      </w:r>
    </w:p>
    <w:p w14:paraId="5E6F49FD">
      <w:pPr>
        <w:adjustRightInd w:val="0"/>
        <w:snapToGrid w:val="0"/>
        <w:spacing w:line="560" w:lineRule="exact"/>
        <w:ind w:firstLine="640" w:firstLineChars="200"/>
        <w:rPr>
          <w:rFonts w:ascii="Times New Roman" w:hAnsi="Times New Roman" w:eastAsia="仿宋_GB2312" w:cs="Times New Roman"/>
          <w:color w:val="000000"/>
          <w:sz w:val="32"/>
          <w:szCs w:val="32"/>
        </w:rPr>
      </w:pPr>
      <w:bookmarkStart w:id="4" w:name="_Hlk154515605"/>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主持国家级大学生创新创业训练计划项目或省级大学生创新训练计划重点项目</w:t>
      </w:r>
      <w:r>
        <w:rPr>
          <w:rFonts w:hint="eastAsia" w:ascii="Times New Roman" w:hAnsi="Times New Roman" w:eastAsia="仿宋_GB2312" w:cs="Times New Roman"/>
          <w:color w:val="000000"/>
          <w:sz w:val="32"/>
          <w:szCs w:val="32"/>
        </w:rPr>
        <w:t>者</w:t>
      </w:r>
      <w:r>
        <w:rPr>
          <w:rFonts w:ascii="Times New Roman" w:hAnsi="Times New Roman" w:eastAsia="仿宋_GB2312" w:cs="Times New Roman"/>
          <w:color w:val="000000"/>
          <w:sz w:val="32"/>
          <w:szCs w:val="32"/>
        </w:rPr>
        <w:t>加1.0分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有2个主持人的,每人加0.5分），主持省级大学生创新训练计划一般项目</w:t>
      </w:r>
      <w:r>
        <w:rPr>
          <w:rFonts w:hint="eastAsia" w:ascii="Times New Roman" w:hAnsi="Times New Roman" w:eastAsia="仿宋_GB2312" w:cs="Times New Roman"/>
          <w:color w:val="000000"/>
          <w:sz w:val="32"/>
          <w:szCs w:val="32"/>
        </w:rPr>
        <w:t>者</w:t>
      </w:r>
      <w:r>
        <w:rPr>
          <w:rFonts w:ascii="Times New Roman" w:hAnsi="Times New Roman" w:eastAsia="仿宋_GB2312" w:cs="Times New Roman"/>
          <w:color w:val="000000"/>
          <w:sz w:val="32"/>
          <w:szCs w:val="32"/>
        </w:rPr>
        <w:t>加0.5分(有2个主持人的,每人加0.25分)。</w:t>
      </w:r>
      <w:bookmarkEnd w:id="4"/>
      <w:r>
        <w:rPr>
          <w:rFonts w:hint="eastAsia" w:ascii="Times New Roman" w:hAnsi="Times New Roman" w:eastAsia="仿宋_GB2312" w:cs="Times New Roman"/>
          <w:color w:val="000000"/>
          <w:sz w:val="32"/>
          <w:szCs w:val="32"/>
        </w:rPr>
        <w:t>该政策仅适用于2022级学生。</w:t>
      </w:r>
    </w:p>
    <w:p w14:paraId="6E76466D">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主持国家级大学生创新创业训练计划项目或省级大学生创新训练计划重点项目</w:t>
      </w:r>
      <w:r>
        <w:rPr>
          <w:rFonts w:hint="eastAsia" w:ascii="Times New Roman" w:hAnsi="Times New Roman" w:eastAsia="仿宋_GB2312" w:cs="Times New Roman"/>
          <w:color w:val="000000"/>
          <w:sz w:val="32"/>
          <w:szCs w:val="32"/>
        </w:rPr>
        <w:t>并结题的</w:t>
      </w:r>
      <w:r>
        <w:rPr>
          <w:rFonts w:ascii="Times New Roman" w:hAnsi="Times New Roman" w:eastAsia="仿宋_GB2312" w:cs="Times New Roman"/>
          <w:color w:val="000000"/>
          <w:sz w:val="32"/>
          <w:szCs w:val="32"/>
        </w:rPr>
        <w:t>加1.0分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有2个主持人的,每人加0.5分），主持省级大学生创新训练计划一般项目</w:t>
      </w:r>
      <w:r>
        <w:rPr>
          <w:rFonts w:hint="eastAsia" w:ascii="Times New Roman" w:hAnsi="Times New Roman" w:eastAsia="仿宋_GB2312" w:cs="Times New Roman"/>
          <w:color w:val="000000"/>
          <w:sz w:val="32"/>
          <w:szCs w:val="32"/>
        </w:rPr>
        <w:t>并结题的</w:t>
      </w:r>
      <w:r>
        <w:rPr>
          <w:rFonts w:ascii="Times New Roman" w:hAnsi="Times New Roman" w:eastAsia="仿宋_GB2312" w:cs="Times New Roman"/>
          <w:color w:val="000000"/>
          <w:sz w:val="32"/>
          <w:szCs w:val="32"/>
        </w:rPr>
        <w:t>加0.5分(有2个主持人的,每人加0.25分)。</w:t>
      </w:r>
      <w:r>
        <w:rPr>
          <w:rFonts w:hint="eastAsia" w:ascii="Times New Roman" w:hAnsi="Times New Roman" w:eastAsia="仿宋_GB2312" w:cs="Times New Roman"/>
          <w:color w:val="000000"/>
          <w:sz w:val="32"/>
          <w:szCs w:val="32"/>
        </w:rPr>
        <w:t>该政策自</w:t>
      </w:r>
      <w:r>
        <w:rPr>
          <w:rFonts w:ascii="Times New Roman" w:hAnsi="Times New Roman" w:eastAsia="仿宋_GB2312" w:cs="Times New Roman"/>
          <w:color w:val="000000"/>
          <w:sz w:val="32"/>
          <w:szCs w:val="32"/>
        </w:rPr>
        <w:t>2023</w:t>
      </w:r>
      <w:r>
        <w:rPr>
          <w:rFonts w:hint="eastAsia" w:ascii="Times New Roman" w:hAnsi="Times New Roman" w:eastAsia="仿宋_GB2312" w:cs="Times New Roman"/>
          <w:color w:val="000000"/>
          <w:sz w:val="32"/>
          <w:szCs w:val="32"/>
        </w:rPr>
        <w:t>级学生起开始施行。</w:t>
      </w:r>
    </w:p>
    <w:p w14:paraId="4A78A36E">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4．荣誉称号加分</w:t>
      </w:r>
    </w:p>
    <w:p w14:paraId="11229917">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国家级“三好学生”、“优秀学生干部”、“优秀团员或团干部”获得者加3.0。</w:t>
      </w:r>
    </w:p>
    <w:p w14:paraId="7757D0EF">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省级“三好学生”、“优秀学生干部”、“优秀团员或团干部”获得者加1.5。</w:t>
      </w:r>
    </w:p>
    <w:p w14:paraId="7EF748E5">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5．发明专利加分</w:t>
      </w:r>
    </w:p>
    <w:p w14:paraId="6FB484EE">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拥有授权发明专利者（独立或排名第一）加2.0。</w:t>
      </w:r>
    </w:p>
    <w:p w14:paraId="7B5C9585">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6．参军入伍服兵役加分</w:t>
      </w:r>
    </w:p>
    <w:p w14:paraId="29E10149">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参军入伍服役加2.0。</w:t>
      </w:r>
    </w:p>
    <w:p w14:paraId="37FB0BA3">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参军入伍服役并</w:t>
      </w:r>
      <w:r>
        <w:rPr>
          <w:rFonts w:hint="eastAsia" w:ascii="Times New Roman" w:hAnsi="Times New Roman" w:eastAsia="仿宋_GB2312" w:cs="Times New Roman"/>
          <w:color w:val="000000"/>
          <w:sz w:val="32"/>
          <w:szCs w:val="32"/>
        </w:rPr>
        <w:t>获得个人</w:t>
      </w:r>
      <w:r>
        <w:rPr>
          <w:rFonts w:ascii="Times New Roman" w:hAnsi="Times New Roman" w:eastAsia="仿宋_GB2312" w:cs="Times New Roman"/>
          <w:color w:val="000000"/>
          <w:sz w:val="32"/>
          <w:szCs w:val="32"/>
        </w:rPr>
        <w:t>“嘉奖”称号加2.2。</w:t>
      </w:r>
    </w:p>
    <w:p w14:paraId="34FA35F2">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参军入伍服役并荣立部队</w:t>
      </w:r>
      <w:r>
        <w:rPr>
          <w:rFonts w:hint="eastAsia" w:ascii="Times New Roman" w:hAnsi="Times New Roman" w:eastAsia="仿宋_GB2312" w:cs="Times New Roman"/>
          <w:color w:val="000000"/>
          <w:sz w:val="32"/>
          <w:szCs w:val="32"/>
        </w:rPr>
        <w:t>个人</w:t>
      </w:r>
      <w:r>
        <w:rPr>
          <w:rFonts w:ascii="Times New Roman" w:hAnsi="Times New Roman" w:eastAsia="仿宋_GB2312" w:cs="Times New Roman"/>
          <w:color w:val="000000"/>
          <w:sz w:val="32"/>
          <w:szCs w:val="32"/>
        </w:rPr>
        <w:t>三等功加2.5。</w:t>
      </w:r>
    </w:p>
    <w:p w14:paraId="7DF4548F">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参军入伍服役并荣立部队</w:t>
      </w:r>
      <w:r>
        <w:rPr>
          <w:rFonts w:hint="eastAsia" w:ascii="Times New Roman" w:hAnsi="Times New Roman" w:eastAsia="仿宋_GB2312" w:cs="Times New Roman"/>
          <w:color w:val="000000"/>
          <w:sz w:val="32"/>
          <w:szCs w:val="32"/>
        </w:rPr>
        <w:t>个人</w:t>
      </w:r>
      <w:r>
        <w:rPr>
          <w:rFonts w:ascii="Times New Roman" w:hAnsi="Times New Roman" w:eastAsia="仿宋_GB2312" w:cs="Times New Roman"/>
          <w:color w:val="000000"/>
          <w:sz w:val="32"/>
          <w:szCs w:val="32"/>
        </w:rPr>
        <w:t>二等功加3.0。</w:t>
      </w:r>
    </w:p>
    <w:p w14:paraId="215CF560">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参军入伍服役并荣立部队</w:t>
      </w:r>
      <w:r>
        <w:rPr>
          <w:rFonts w:hint="eastAsia" w:ascii="Times New Roman" w:hAnsi="Times New Roman" w:eastAsia="仿宋_GB2312" w:cs="Times New Roman"/>
          <w:color w:val="000000"/>
          <w:sz w:val="32"/>
          <w:szCs w:val="32"/>
        </w:rPr>
        <w:t>个人</w:t>
      </w:r>
      <w:r>
        <w:rPr>
          <w:rFonts w:ascii="Times New Roman" w:hAnsi="Times New Roman" w:eastAsia="仿宋_GB2312" w:cs="Times New Roman"/>
          <w:color w:val="000000"/>
          <w:sz w:val="32"/>
          <w:szCs w:val="32"/>
        </w:rPr>
        <w:t>一等功加5.0。</w:t>
      </w:r>
    </w:p>
    <w:p w14:paraId="063E2E6F">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7．国际组织实习加分</w:t>
      </w:r>
    </w:p>
    <w:p w14:paraId="1A88018A">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由学校选派到国际组织实习一个月以上（含一个月）加1.0。</w:t>
      </w:r>
    </w:p>
    <w:p w14:paraId="6EAFBADC">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8．体育竞赛加分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3360"/>
        <w:gridCol w:w="3541"/>
      </w:tblGrid>
      <w:tr w14:paraId="1232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1" w:type="pct"/>
            <w:vMerge w:val="restart"/>
            <w:vAlign w:val="center"/>
          </w:tcPr>
          <w:p w14:paraId="66A07ECF">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竞赛类别</w:t>
            </w:r>
          </w:p>
        </w:tc>
        <w:tc>
          <w:tcPr>
            <w:tcW w:w="4048" w:type="pct"/>
            <w:gridSpan w:val="2"/>
            <w:vAlign w:val="center"/>
          </w:tcPr>
          <w:p w14:paraId="362DB2D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加分分值</w:t>
            </w:r>
          </w:p>
        </w:tc>
      </w:tr>
      <w:tr w14:paraId="4B1D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51" w:type="pct"/>
            <w:vMerge w:val="continue"/>
            <w:vAlign w:val="center"/>
          </w:tcPr>
          <w:p w14:paraId="29959F9C">
            <w:pPr>
              <w:widowControl/>
              <w:spacing w:before="100" w:beforeAutospacing="1" w:after="100" w:afterAutospacing="1"/>
              <w:jc w:val="center"/>
              <w:rPr>
                <w:rFonts w:ascii="Times New Roman" w:hAnsi="Times New Roman" w:eastAsia="仿宋_GB2312" w:cs="Times New Roman"/>
                <w:kern w:val="0"/>
                <w:szCs w:val="21"/>
              </w:rPr>
            </w:pPr>
          </w:p>
        </w:tc>
        <w:tc>
          <w:tcPr>
            <w:tcW w:w="1971" w:type="pct"/>
            <w:vAlign w:val="center"/>
          </w:tcPr>
          <w:p w14:paraId="6C18EA1A">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第一等级</w:t>
            </w:r>
          </w:p>
        </w:tc>
        <w:tc>
          <w:tcPr>
            <w:tcW w:w="2077" w:type="pct"/>
            <w:vAlign w:val="center"/>
          </w:tcPr>
          <w:p w14:paraId="12D9DDC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第二等级</w:t>
            </w:r>
          </w:p>
        </w:tc>
      </w:tr>
      <w:tr w14:paraId="7A4C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1" w:type="pct"/>
            <w:vAlign w:val="center"/>
          </w:tcPr>
          <w:p w14:paraId="397F428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国赛</w:t>
            </w:r>
          </w:p>
          <w:p w14:paraId="622780F7">
            <w:pPr>
              <w:widowControl/>
              <w:spacing w:before="100" w:beforeAutospacing="1" w:after="100" w:afterAutospacing="1"/>
              <w:jc w:val="center"/>
              <w:rPr>
                <w:rFonts w:ascii="Times New Roman" w:hAnsi="Times New Roman" w:eastAsia="仿宋_GB2312" w:cs="Times New Roman"/>
                <w:kern w:val="0"/>
                <w:szCs w:val="21"/>
              </w:rPr>
            </w:pPr>
          </w:p>
        </w:tc>
        <w:tc>
          <w:tcPr>
            <w:tcW w:w="1971" w:type="pct"/>
            <w:vAlign w:val="center"/>
          </w:tcPr>
          <w:p w14:paraId="208B7AB8">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第一名 3.5</w:t>
            </w:r>
          </w:p>
          <w:p w14:paraId="21EFA968">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第二名 3.0</w:t>
            </w:r>
          </w:p>
          <w:p w14:paraId="0242B5FB">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第三名 2.5</w:t>
            </w:r>
          </w:p>
          <w:p w14:paraId="544BFE54">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第四名 2.0</w:t>
            </w:r>
          </w:p>
          <w:p w14:paraId="0268B370">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第五名 1.5</w:t>
            </w:r>
          </w:p>
          <w:p w14:paraId="05B88EC8">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第六名 1.0</w:t>
            </w:r>
          </w:p>
          <w:p w14:paraId="144A3FE4">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第七名 0.8</w:t>
            </w:r>
          </w:p>
          <w:p w14:paraId="7F81BEE5">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第八名 0.6</w:t>
            </w:r>
          </w:p>
        </w:tc>
        <w:tc>
          <w:tcPr>
            <w:tcW w:w="2077" w:type="pct"/>
            <w:vAlign w:val="center"/>
          </w:tcPr>
          <w:p w14:paraId="2F85472C">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第一名 2.0</w:t>
            </w:r>
          </w:p>
          <w:p w14:paraId="27083B7A">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第二名 1.5</w:t>
            </w:r>
          </w:p>
          <w:p w14:paraId="01DE7EA8">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第三名 1.0</w:t>
            </w:r>
          </w:p>
          <w:p w14:paraId="4FADA382">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第四名 0.8</w:t>
            </w:r>
          </w:p>
          <w:p w14:paraId="5366A01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第五名 0.7</w:t>
            </w:r>
          </w:p>
          <w:p w14:paraId="2317CE5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第六名 0.6</w:t>
            </w:r>
          </w:p>
          <w:p w14:paraId="6352FC53">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第七名 0.5</w:t>
            </w:r>
          </w:p>
          <w:p w14:paraId="01A6E282">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第八名 0.4</w:t>
            </w:r>
          </w:p>
        </w:tc>
      </w:tr>
      <w:tr w14:paraId="7646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51" w:type="pct"/>
            <w:vAlign w:val="center"/>
          </w:tcPr>
          <w:p w14:paraId="5C402B0B">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省赛</w:t>
            </w:r>
          </w:p>
          <w:p w14:paraId="24C036F7">
            <w:pPr>
              <w:widowControl/>
              <w:spacing w:before="100" w:beforeAutospacing="1" w:after="100" w:afterAutospacing="1"/>
              <w:jc w:val="center"/>
              <w:rPr>
                <w:rFonts w:ascii="Times New Roman" w:hAnsi="Times New Roman" w:eastAsia="仿宋_GB2312" w:cs="Times New Roman"/>
                <w:kern w:val="0"/>
                <w:szCs w:val="21"/>
              </w:rPr>
            </w:pPr>
          </w:p>
        </w:tc>
        <w:tc>
          <w:tcPr>
            <w:tcW w:w="1971" w:type="pct"/>
            <w:vAlign w:val="center"/>
          </w:tcPr>
          <w:p w14:paraId="7D095FC5">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第一名 1.5</w:t>
            </w:r>
          </w:p>
          <w:p w14:paraId="6BABF1B0">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第二名 1.0</w:t>
            </w:r>
          </w:p>
          <w:p w14:paraId="3E63E725">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第三名 0.8</w:t>
            </w:r>
          </w:p>
          <w:p w14:paraId="19A75A2C">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第四名 0.7</w:t>
            </w:r>
          </w:p>
          <w:p w14:paraId="443B1AC2">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第五名 0.6</w:t>
            </w:r>
          </w:p>
          <w:p w14:paraId="2A7E56F9">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第六名 0.5</w:t>
            </w:r>
          </w:p>
          <w:p w14:paraId="4BDB67C5">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第七名 0.4</w:t>
            </w:r>
          </w:p>
          <w:p w14:paraId="3B28DE30">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第八名 0.3</w:t>
            </w:r>
          </w:p>
        </w:tc>
        <w:tc>
          <w:tcPr>
            <w:tcW w:w="2077" w:type="pct"/>
            <w:vAlign w:val="center"/>
          </w:tcPr>
          <w:p w14:paraId="29E0A750">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第一名 1.0</w:t>
            </w:r>
          </w:p>
          <w:p w14:paraId="2A7F73AB">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第二名 0.8</w:t>
            </w:r>
          </w:p>
          <w:p w14:paraId="76852529">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第三名 0.6</w:t>
            </w:r>
          </w:p>
          <w:p w14:paraId="6CEF7F04">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第四名 0.5</w:t>
            </w:r>
          </w:p>
          <w:p w14:paraId="3AE8B6A9">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第五名 0.4</w:t>
            </w:r>
          </w:p>
          <w:p w14:paraId="0CB45521">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第六名 0.3</w:t>
            </w:r>
          </w:p>
          <w:p w14:paraId="7D327D65">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第七名 0.2</w:t>
            </w:r>
          </w:p>
          <w:p w14:paraId="1501848E">
            <w:pPr>
              <w:widowControl/>
              <w:spacing w:before="100" w:beforeAutospacing="1" w:after="100" w:afterAutospacing="1"/>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第八名 0.1</w:t>
            </w:r>
          </w:p>
        </w:tc>
      </w:tr>
    </w:tbl>
    <w:p w14:paraId="1A3CCB43">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说明：</w:t>
      </w:r>
    </w:p>
    <w:p w14:paraId="294E9518">
      <w:pPr>
        <w:numPr>
          <w:ilvl w:val="0"/>
          <w:numId w:val="2"/>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竞赛不累计加分，同一赛事取得多个名次以及多次赛事均以最高名次计算；</w:t>
      </w:r>
    </w:p>
    <w:p w14:paraId="46BA85B2">
      <w:pPr>
        <w:numPr>
          <w:ilvl w:val="0"/>
          <w:numId w:val="2"/>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竞赛类别加分：</w:t>
      </w:r>
    </w:p>
    <w:p w14:paraId="7CA7DE8B">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国赛第一等级仅限国家体育总局、教育部、中国大学生体育协会主办的全国学生(青年)运动会，第二等级仅限于中国大学生体育协会主办的各单项赛事。</w:t>
      </w:r>
    </w:p>
    <w:p w14:paraId="4F117561">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省赛第一等级仅限江苏省教育厅、江苏省体育局主办的江苏省运动会高校部比赛，第二等级仅限江苏省教育厅、江苏省学生体协主办的各单项赛事。</w:t>
      </w:r>
    </w:p>
    <w:p w14:paraId="6BD0DFE1">
      <w:pPr>
        <w:numPr>
          <w:ilvl w:val="0"/>
          <w:numId w:val="2"/>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个人项目以实际取得名次计算，项目包括田径、游泳、乒乓球、羽毛球、网球、健美操、啦啦操、艺术体操等。</w:t>
      </w:r>
    </w:p>
    <w:p w14:paraId="4729AC2E">
      <w:pPr>
        <w:numPr>
          <w:ilvl w:val="0"/>
          <w:numId w:val="2"/>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集体项目按比赛规程规定报名人数的70%(四舍五入计算方法)为主力，以实际名次加分，替补队员按主力队员加分分值的60%加分。</w:t>
      </w:r>
    </w:p>
    <w:p w14:paraId="24BF3ADA">
      <w:pPr>
        <w:numPr>
          <w:ilvl w:val="0"/>
          <w:numId w:val="2"/>
        </w:num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所有体育竞赛项目类别、获奖等级和排名加分，由体育部负责认定。  </w:t>
      </w:r>
    </w:p>
    <w:p w14:paraId="0227AC6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743035"/>
      <w:docPartObj>
        <w:docPartGallery w:val="autotext"/>
      </w:docPartObj>
    </w:sdtPr>
    <w:sdtContent>
      <w:p w14:paraId="4EDFD470">
        <w:pPr>
          <w:pStyle w:val="4"/>
          <w:numPr>
            <w:ilvl w:val="0"/>
            <w:numId w:val="1"/>
          </w:numP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50C5455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942D9"/>
    <w:multiLevelType w:val="multilevel"/>
    <w:tmpl w:val="3CB942D9"/>
    <w:lvl w:ilvl="0" w:tentative="0">
      <w:start w:val="0"/>
      <w:numFmt w:val="bullet"/>
      <w:lvlText w:val="—"/>
      <w:lvlJc w:val="left"/>
      <w:pPr>
        <w:ind w:left="360" w:hanging="360"/>
      </w:pPr>
      <w:rPr>
        <w:rFonts w:hint="default" w:ascii="Times New Roman" w:hAnsi="Times New Roman" w:cs="Times New Roman" w:eastAsiaTheme="minorEastAsia"/>
        <w:sz w:val="2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5F7FB13E"/>
    <w:multiLevelType w:val="singleLevel"/>
    <w:tmpl w:val="5F7FB13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jYzNTJjYmVjY2FiMmUwOWM0MzFiYjg2NjUzODcifQ=="/>
  </w:docVars>
  <w:rsids>
    <w:rsidRoot w:val="26F07977"/>
    <w:rsid w:val="00000C49"/>
    <w:rsid w:val="00003897"/>
    <w:rsid w:val="00016C3F"/>
    <w:rsid w:val="00016E1E"/>
    <w:rsid w:val="00023D3C"/>
    <w:rsid w:val="00036D26"/>
    <w:rsid w:val="00045B94"/>
    <w:rsid w:val="00046063"/>
    <w:rsid w:val="000520E1"/>
    <w:rsid w:val="000523B8"/>
    <w:rsid w:val="00054D9F"/>
    <w:rsid w:val="00063D64"/>
    <w:rsid w:val="00076C8A"/>
    <w:rsid w:val="000A4252"/>
    <w:rsid w:val="000B25CE"/>
    <w:rsid w:val="000B492A"/>
    <w:rsid w:val="000B5952"/>
    <w:rsid w:val="000B7B86"/>
    <w:rsid w:val="000E44CB"/>
    <w:rsid w:val="000E5174"/>
    <w:rsid w:val="001071FC"/>
    <w:rsid w:val="001306F3"/>
    <w:rsid w:val="00153F88"/>
    <w:rsid w:val="001669AF"/>
    <w:rsid w:val="001A1497"/>
    <w:rsid w:val="001B5311"/>
    <w:rsid w:val="001C31F7"/>
    <w:rsid w:val="001C5CD3"/>
    <w:rsid w:val="001C5E95"/>
    <w:rsid w:val="001F2EF4"/>
    <w:rsid w:val="0020401F"/>
    <w:rsid w:val="00204224"/>
    <w:rsid w:val="00215206"/>
    <w:rsid w:val="00227592"/>
    <w:rsid w:val="002357FC"/>
    <w:rsid w:val="00246FC1"/>
    <w:rsid w:val="00255447"/>
    <w:rsid w:val="002559DD"/>
    <w:rsid w:val="002A2D9A"/>
    <w:rsid w:val="002A775A"/>
    <w:rsid w:val="002B72FE"/>
    <w:rsid w:val="002C3C47"/>
    <w:rsid w:val="002D0BCE"/>
    <w:rsid w:val="002D783B"/>
    <w:rsid w:val="00302F14"/>
    <w:rsid w:val="0031462F"/>
    <w:rsid w:val="00322D1D"/>
    <w:rsid w:val="00334FE2"/>
    <w:rsid w:val="00337C4D"/>
    <w:rsid w:val="00352F47"/>
    <w:rsid w:val="00362CB8"/>
    <w:rsid w:val="00376B0E"/>
    <w:rsid w:val="003A2A0E"/>
    <w:rsid w:val="003B1D89"/>
    <w:rsid w:val="003C42F7"/>
    <w:rsid w:val="003E3E7C"/>
    <w:rsid w:val="00402525"/>
    <w:rsid w:val="00403BEE"/>
    <w:rsid w:val="00411CD6"/>
    <w:rsid w:val="00422D47"/>
    <w:rsid w:val="00424745"/>
    <w:rsid w:val="004249A6"/>
    <w:rsid w:val="00435C68"/>
    <w:rsid w:val="004367D5"/>
    <w:rsid w:val="0043734C"/>
    <w:rsid w:val="00441054"/>
    <w:rsid w:val="0044115A"/>
    <w:rsid w:val="00441DB1"/>
    <w:rsid w:val="00444CDD"/>
    <w:rsid w:val="00454F42"/>
    <w:rsid w:val="004634DB"/>
    <w:rsid w:val="004728A1"/>
    <w:rsid w:val="00472B8D"/>
    <w:rsid w:val="00473680"/>
    <w:rsid w:val="004A3CDD"/>
    <w:rsid w:val="004A3EBD"/>
    <w:rsid w:val="004D49BF"/>
    <w:rsid w:val="004E2FE2"/>
    <w:rsid w:val="00512CC7"/>
    <w:rsid w:val="005140B1"/>
    <w:rsid w:val="00536C95"/>
    <w:rsid w:val="005370AC"/>
    <w:rsid w:val="005415D9"/>
    <w:rsid w:val="005422A8"/>
    <w:rsid w:val="00542420"/>
    <w:rsid w:val="00543168"/>
    <w:rsid w:val="00545522"/>
    <w:rsid w:val="005602D7"/>
    <w:rsid w:val="005672C6"/>
    <w:rsid w:val="00584A99"/>
    <w:rsid w:val="00585D81"/>
    <w:rsid w:val="005A0B7F"/>
    <w:rsid w:val="005B039D"/>
    <w:rsid w:val="005D3C03"/>
    <w:rsid w:val="005D71BB"/>
    <w:rsid w:val="005E2B09"/>
    <w:rsid w:val="005E7D69"/>
    <w:rsid w:val="005F21E0"/>
    <w:rsid w:val="005F7659"/>
    <w:rsid w:val="00623FD1"/>
    <w:rsid w:val="00633C80"/>
    <w:rsid w:val="006367C1"/>
    <w:rsid w:val="00644C7A"/>
    <w:rsid w:val="0066222B"/>
    <w:rsid w:val="00663E31"/>
    <w:rsid w:val="00674507"/>
    <w:rsid w:val="00685E50"/>
    <w:rsid w:val="00686E95"/>
    <w:rsid w:val="006969DD"/>
    <w:rsid w:val="006A6C06"/>
    <w:rsid w:val="006C731C"/>
    <w:rsid w:val="006D5111"/>
    <w:rsid w:val="006D5C74"/>
    <w:rsid w:val="007223A1"/>
    <w:rsid w:val="0074220C"/>
    <w:rsid w:val="00752064"/>
    <w:rsid w:val="00761E71"/>
    <w:rsid w:val="007806A8"/>
    <w:rsid w:val="00780747"/>
    <w:rsid w:val="0079688A"/>
    <w:rsid w:val="007A2A24"/>
    <w:rsid w:val="007B0C60"/>
    <w:rsid w:val="007C01E0"/>
    <w:rsid w:val="007C3F45"/>
    <w:rsid w:val="007D5DF1"/>
    <w:rsid w:val="007D6CB4"/>
    <w:rsid w:val="007F0F05"/>
    <w:rsid w:val="007F7B68"/>
    <w:rsid w:val="00801AE9"/>
    <w:rsid w:val="00803438"/>
    <w:rsid w:val="008070D8"/>
    <w:rsid w:val="00811B45"/>
    <w:rsid w:val="0081569A"/>
    <w:rsid w:val="00837D83"/>
    <w:rsid w:val="008707FB"/>
    <w:rsid w:val="0087386B"/>
    <w:rsid w:val="0087592B"/>
    <w:rsid w:val="00897265"/>
    <w:rsid w:val="008A4AAF"/>
    <w:rsid w:val="008B7775"/>
    <w:rsid w:val="008D472D"/>
    <w:rsid w:val="008D5442"/>
    <w:rsid w:val="008D7337"/>
    <w:rsid w:val="008E6514"/>
    <w:rsid w:val="008F4B6D"/>
    <w:rsid w:val="00901009"/>
    <w:rsid w:val="00901E66"/>
    <w:rsid w:val="00906079"/>
    <w:rsid w:val="00912DA5"/>
    <w:rsid w:val="0092379E"/>
    <w:rsid w:val="00927AEB"/>
    <w:rsid w:val="009329A2"/>
    <w:rsid w:val="00936FB2"/>
    <w:rsid w:val="00942E9E"/>
    <w:rsid w:val="009508A2"/>
    <w:rsid w:val="009605DE"/>
    <w:rsid w:val="00961BB3"/>
    <w:rsid w:val="0096612A"/>
    <w:rsid w:val="0098608A"/>
    <w:rsid w:val="00991614"/>
    <w:rsid w:val="009D42C4"/>
    <w:rsid w:val="009E4222"/>
    <w:rsid w:val="00A03541"/>
    <w:rsid w:val="00A0427C"/>
    <w:rsid w:val="00A049CC"/>
    <w:rsid w:val="00A22BBC"/>
    <w:rsid w:val="00A32475"/>
    <w:rsid w:val="00A34B85"/>
    <w:rsid w:val="00A350C2"/>
    <w:rsid w:val="00A351DD"/>
    <w:rsid w:val="00A45E3F"/>
    <w:rsid w:val="00A6477E"/>
    <w:rsid w:val="00A8360E"/>
    <w:rsid w:val="00A83CA4"/>
    <w:rsid w:val="00A90E43"/>
    <w:rsid w:val="00AC5239"/>
    <w:rsid w:val="00AD171A"/>
    <w:rsid w:val="00B00F87"/>
    <w:rsid w:val="00B0619D"/>
    <w:rsid w:val="00B13E03"/>
    <w:rsid w:val="00B1727D"/>
    <w:rsid w:val="00B36375"/>
    <w:rsid w:val="00B37473"/>
    <w:rsid w:val="00B50C09"/>
    <w:rsid w:val="00B52863"/>
    <w:rsid w:val="00B55E76"/>
    <w:rsid w:val="00B56C10"/>
    <w:rsid w:val="00B6107D"/>
    <w:rsid w:val="00B645BC"/>
    <w:rsid w:val="00B71D54"/>
    <w:rsid w:val="00B96AAD"/>
    <w:rsid w:val="00BB5896"/>
    <w:rsid w:val="00BB67EA"/>
    <w:rsid w:val="00BD7960"/>
    <w:rsid w:val="00BE45DF"/>
    <w:rsid w:val="00BE583B"/>
    <w:rsid w:val="00BE6472"/>
    <w:rsid w:val="00BE6870"/>
    <w:rsid w:val="00BF0CFA"/>
    <w:rsid w:val="00C00188"/>
    <w:rsid w:val="00C04DC7"/>
    <w:rsid w:val="00C26B6F"/>
    <w:rsid w:val="00C4024F"/>
    <w:rsid w:val="00C40DD0"/>
    <w:rsid w:val="00C42522"/>
    <w:rsid w:val="00C4357D"/>
    <w:rsid w:val="00C45C1E"/>
    <w:rsid w:val="00C470BF"/>
    <w:rsid w:val="00C50843"/>
    <w:rsid w:val="00C53C3E"/>
    <w:rsid w:val="00C56723"/>
    <w:rsid w:val="00C764F9"/>
    <w:rsid w:val="00C86ACC"/>
    <w:rsid w:val="00CB51B7"/>
    <w:rsid w:val="00CD555A"/>
    <w:rsid w:val="00CE3BBA"/>
    <w:rsid w:val="00CE62FE"/>
    <w:rsid w:val="00CF6B80"/>
    <w:rsid w:val="00D05156"/>
    <w:rsid w:val="00D13F3F"/>
    <w:rsid w:val="00D25F5F"/>
    <w:rsid w:val="00D31F8B"/>
    <w:rsid w:val="00D368C5"/>
    <w:rsid w:val="00D66386"/>
    <w:rsid w:val="00D7304F"/>
    <w:rsid w:val="00D74307"/>
    <w:rsid w:val="00D75D1E"/>
    <w:rsid w:val="00D768E4"/>
    <w:rsid w:val="00D81807"/>
    <w:rsid w:val="00D96B6D"/>
    <w:rsid w:val="00DA72F7"/>
    <w:rsid w:val="00DC63F4"/>
    <w:rsid w:val="00DD2282"/>
    <w:rsid w:val="00DE487A"/>
    <w:rsid w:val="00DE6249"/>
    <w:rsid w:val="00DE7624"/>
    <w:rsid w:val="00DE7944"/>
    <w:rsid w:val="00E01441"/>
    <w:rsid w:val="00E07B28"/>
    <w:rsid w:val="00E106BF"/>
    <w:rsid w:val="00E108E4"/>
    <w:rsid w:val="00E11CD8"/>
    <w:rsid w:val="00E26E31"/>
    <w:rsid w:val="00E41932"/>
    <w:rsid w:val="00E5436B"/>
    <w:rsid w:val="00E56726"/>
    <w:rsid w:val="00E66141"/>
    <w:rsid w:val="00E66BA1"/>
    <w:rsid w:val="00E7509E"/>
    <w:rsid w:val="00E978E5"/>
    <w:rsid w:val="00EA1606"/>
    <w:rsid w:val="00EB478B"/>
    <w:rsid w:val="00EE1D83"/>
    <w:rsid w:val="00EF4F6B"/>
    <w:rsid w:val="00EF61D1"/>
    <w:rsid w:val="00F01AC9"/>
    <w:rsid w:val="00F0493C"/>
    <w:rsid w:val="00F27D0A"/>
    <w:rsid w:val="00F3238F"/>
    <w:rsid w:val="00F35D42"/>
    <w:rsid w:val="00F40FC1"/>
    <w:rsid w:val="00F57EF3"/>
    <w:rsid w:val="00F7220E"/>
    <w:rsid w:val="00F7651A"/>
    <w:rsid w:val="00F91CC9"/>
    <w:rsid w:val="00F9635C"/>
    <w:rsid w:val="00FA6575"/>
    <w:rsid w:val="00FB2E5A"/>
    <w:rsid w:val="00FD009B"/>
    <w:rsid w:val="029828B9"/>
    <w:rsid w:val="05104813"/>
    <w:rsid w:val="076A3A20"/>
    <w:rsid w:val="0C6229B4"/>
    <w:rsid w:val="11754938"/>
    <w:rsid w:val="177826E7"/>
    <w:rsid w:val="177F3775"/>
    <w:rsid w:val="241B779B"/>
    <w:rsid w:val="26F07977"/>
    <w:rsid w:val="28966FA2"/>
    <w:rsid w:val="310D781E"/>
    <w:rsid w:val="38DE7C2A"/>
    <w:rsid w:val="39671D8E"/>
    <w:rsid w:val="46D15134"/>
    <w:rsid w:val="49887DBA"/>
    <w:rsid w:val="4BAF57F0"/>
    <w:rsid w:val="55FF1B43"/>
    <w:rsid w:val="58013074"/>
    <w:rsid w:val="5A4C09F1"/>
    <w:rsid w:val="5B3A56B2"/>
    <w:rsid w:val="5DED7EE9"/>
    <w:rsid w:val="5EAE582B"/>
    <w:rsid w:val="692956CD"/>
    <w:rsid w:val="6BDC3B14"/>
    <w:rsid w:val="6DCC5A2D"/>
    <w:rsid w:val="753C112E"/>
    <w:rsid w:val="783E7450"/>
    <w:rsid w:val="799A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semiHidden/>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9">
    <w:name w:val="Strong"/>
    <w:basedOn w:val="8"/>
    <w:qFormat/>
    <w:uiPriority w:val="22"/>
    <w:rPr>
      <w:b/>
      <w:bCs/>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semiHidden/>
    <w:qFormat/>
    <w:uiPriority w:val="0"/>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15">
    <w:name w:val="列出段落1"/>
    <w:basedOn w:val="1"/>
    <w:qFormat/>
    <w:uiPriority w:val="34"/>
    <w:pPr>
      <w:ind w:firstLine="420"/>
    </w:pPr>
    <w:rPr>
      <w:rFonts w:ascii="Calibri" w:hAnsi="Calibri" w:eastAsia="宋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1378</Words>
  <Characters>1554</Characters>
  <Lines>15</Lines>
  <Paragraphs>4</Paragraphs>
  <TotalTime>0</TotalTime>
  <ScaleCrop>false</ScaleCrop>
  <LinksUpToDate>false</LinksUpToDate>
  <CharactersWithSpaces>1597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2023-12-27T09:52:00Z</dcterms:created>
  <dc:creator>Administrator</dc:creator>
  <cp:lastModifiedBy>颜开</cp:lastModifiedBy>
  <cp:lastPrinted>2024-01-08T06:29:00Z</cp:lastPrinted>
  <dcterms:modified xsi:type="dcterms:W3CDTF">2025-08-28T05:12:21Z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7E32A76FE4B14323944D19F1C4B9418E_12</vt:lpwstr>
  </property>
  <property fmtid="{D5CDD505-2E9C-101B-9397-08002B2CF9AE}" pid="4" name="KSOTemplateDocerSaveRecord">
    <vt:lpwstr>eyJoZGlkIjoiYjRkOWZlZGM5MjQ1Yzc1NjIyODk1OWQ4ZmNhZTI2NmYiLCJ1c2VySWQiOiI5MTk5NjA1ODYifQ==</vt:lpwstr>
  </property>
</Properties>
</file>